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B8" w:rsidRDefault="00C347B8" w:rsidP="00C347B8">
      <w:pPr>
        <w:pStyle w:val="Standard"/>
        <w:widowControl w:val="0"/>
        <w:spacing w:line="200" w:lineRule="exact"/>
        <w:rPr>
          <w:rFonts w:ascii="Arial" w:hAnsi="Arial" w:cs="Arial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12" w:lineRule="exact"/>
        <w:jc w:val="center"/>
        <w:rPr>
          <w:rFonts w:ascii="Arial Black" w:hAnsi="Arial Black" w:cs="Arial"/>
          <w:b/>
          <w:bCs/>
          <w:color w:val="000000"/>
          <w:w w:val="99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 xml:space="preserve">  </w:t>
      </w:r>
      <w:r w:rsidRPr="00EA39D5">
        <w:rPr>
          <w:rFonts w:ascii="Arial Black" w:hAnsi="Arial Black" w:cs="Arial"/>
          <w:b/>
          <w:bCs/>
          <w:color w:val="000000"/>
          <w:w w:val="99"/>
        </w:rPr>
        <w:t xml:space="preserve">ΕΝΤΥΠΟ ΟΙΚΟΝΟΜΙΚΗΣ ΠΡΟΣΦΟΡΑΣ </w:t>
      </w:r>
    </w:p>
    <w:p w:rsidR="00C347B8" w:rsidRPr="00EA39D5" w:rsidRDefault="00C347B8" w:rsidP="00C347B8">
      <w:pPr>
        <w:pStyle w:val="Standard"/>
        <w:widowControl w:val="0"/>
        <w:spacing w:line="212" w:lineRule="exact"/>
        <w:jc w:val="center"/>
        <w:rPr>
          <w:rFonts w:ascii="Arial Black" w:hAnsi="Arial Black" w:cs="Arial"/>
        </w:rPr>
      </w:pPr>
      <w:r w:rsidRPr="00EA39D5">
        <w:rPr>
          <w:rFonts w:ascii="Arial Black" w:hAnsi="Arial Black" w:cs="Arial"/>
          <w:b/>
          <w:bCs/>
          <w:color w:val="000000"/>
          <w:w w:val="99"/>
        </w:rPr>
        <w:t xml:space="preserve">για τα τμήματα από  ΕΝΑ (1) έως και </w:t>
      </w:r>
      <w:r>
        <w:rPr>
          <w:rFonts w:ascii="Arial Black" w:hAnsi="Arial Black" w:cs="Arial"/>
          <w:b/>
          <w:bCs/>
          <w:color w:val="000000"/>
          <w:w w:val="99"/>
        </w:rPr>
        <w:t>ΕΝ</w:t>
      </w:r>
      <w:r w:rsidRPr="00EA39D5">
        <w:rPr>
          <w:rFonts w:ascii="Arial Black" w:hAnsi="Arial Black" w:cs="Arial"/>
          <w:b/>
          <w:bCs/>
          <w:color w:val="000000"/>
          <w:w w:val="99"/>
        </w:rPr>
        <w:t>ΔΕΚΑ (1</w:t>
      </w:r>
      <w:r>
        <w:rPr>
          <w:rFonts w:ascii="Arial Black" w:hAnsi="Arial Black" w:cs="Arial"/>
          <w:b/>
          <w:bCs/>
          <w:color w:val="000000"/>
          <w:w w:val="99"/>
        </w:rPr>
        <w:t>1</w:t>
      </w:r>
      <w:r w:rsidRPr="00EA39D5">
        <w:rPr>
          <w:rFonts w:ascii="Arial Black" w:hAnsi="Arial Black" w:cs="Arial"/>
          <w:b/>
          <w:bCs/>
          <w:color w:val="000000"/>
          <w:w w:val="99"/>
        </w:rPr>
        <w:t>)</w:t>
      </w:r>
    </w:p>
    <w:p w:rsidR="00C347B8" w:rsidRDefault="00C347B8" w:rsidP="00C347B8">
      <w:pPr>
        <w:pStyle w:val="Standard"/>
        <w:rPr>
          <w:rFonts w:ascii="Arial" w:hAnsi="Arial" w:cs="Arial"/>
          <w:sz w:val="18"/>
          <w:szCs w:val="18"/>
        </w:rPr>
      </w:pPr>
    </w:p>
    <w:p w:rsidR="00C347B8" w:rsidRDefault="00C347B8" w:rsidP="00C347B8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ΠΡΟΣ ΤΗΝ ΕΠΙΤΡΟΠΗ ΑΞΙΟΛΟΓΗΣΗΣ ΠΡΟΣΦΟΡΩΝ ΚΑΙ ΔΙΕΞΑΓΩΓΗΣ ΔΙΑΓΩΝΙΣΜΟΥ ΤΗΣ ΕΡΓΑΣΙΑΣ</w:t>
      </w:r>
    </w:p>
    <w:p w:rsidR="00C347B8" w:rsidRDefault="00C347B8" w:rsidP="00C347B8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 ΣΥΝΤΗΡΗΣΗ ΚΑΙ ΕΠΙΣΚΕΥΗ ΜΕΤΑΦΟΡΙΚΩΝ ΜΕΣΩΝ»</w:t>
      </w:r>
    </w:p>
    <w:p w:rsidR="00C347B8" w:rsidRDefault="00C347B8" w:rsidP="00C347B8">
      <w:pPr>
        <w:pStyle w:val="Standard"/>
        <w:rPr>
          <w:rFonts w:ascii="Arial" w:hAnsi="Arial" w:cs="Arial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12" w:lineRule="exact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</w:p>
    <w:p w:rsidR="00C347B8" w:rsidRDefault="00C347B8" w:rsidP="00C347B8">
      <w:pPr>
        <w:pStyle w:val="Standard"/>
        <w:widowControl w:val="0"/>
        <w:spacing w:line="200" w:lineRule="exact"/>
        <w:rPr>
          <w:rFonts w:ascii="Arial" w:hAnsi="Arial" w:cs="Arial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Της επιχείρησης……………………………………………………………………………………………………………………….</w:t>
      </w:r>
    </w:p>
    <w:p w:rsidR="00C347B8" w:rsidRDefault="00C347B8" w:rsidP="00C347B8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 xml:space="preserve">µε έδρα 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στ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………………………..…………………………………………………………………………………………………….</w:t>
      </w:r>
    </w:p>
    <w:p w:rsidR="00C347B8" w:rsidRDefault="00C347B8" w:rsidP="00C347B8">
      <w:pPr>
        <w:pStyle w:val="Standard"/>
        <w:widowControl w:val="0"/>
        <w:spacing w:line="263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οδός …………………………..………………… ……….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αριθ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µ. ……..…………..Τ.Κ………………………………………….</w:t>
      </w:r>
    </w:p>
    <w:p w:rsidR="00C347B8" w:rsidRDefault="00C347B8" w:rsidP="00C347B8">
      <w:pPr>
        <w:pStyle w:val="Standard"/>
        <w:widowControl w:val="0"/>
        <w:spacing w:line="266" w:lineRule="exac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.: …………………………………………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 xml:space="preserve">. Κινητό…………………..……. 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: ……………………………………….</w:t>
      </w:r>
    </w:p>
    <w:p w:rsidR="00C347B8" w:rsidRDefault="00C347B8" w:rsidP="00C347B8">
      <w:pPr>
        <w:pStyle w:val="Standard"/>
        <w:widowControl w:val="0"/>
        <w:spacing w:line="304" w:lineRule="exact"/>
        <w:rPr>
          <w:rFonts w:ascii="Arial" w:hAnsi="Arial" w:cs="Arial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100" w:lineRule="atLeast"/>
        <w:ind w:right="585"/>
        <w:jc w:val="both"/>
        <w:rPr>
          <w:rFonts w:ascii="Arial" w:hAnsi="Arial" w:cs="Arial"/>
          <w:b/>
          <w:color w:val="000000"/>
          <w:w w:val="99"/>
          <w:sz w:val="18"/>
          <w:szCs w:val="18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 xml:space="preserve">Αφού έλαβα γνώση της διακήρυξης </w:t>
      </w:r>
      <w:r w:rsidR="008D1C6A">
        <w:rPr>
          <w:rFonts w:ascii="Arial" w:hAnsi="Arial" w:cs="Arial"/>
          <w:color w:val="000000"/>
          <w:w w:val="97"/>
          <w:sz w:val="18"/>
          <w:szCs w:val="18"/>
        </w:rPr>
        <w:t>13316/04-04-2022</w:t>
      </w:r>
      <w:bookmarkStart w:id="0" w:name="_GoBack"/>
      <w:bookmarkEnd w:id="0"/>
      <w:r>
        <w:rPr>
          <w:rFonts w:ascii="Arial" w:hAnsi="Arial" w:cs="Arial"/>
          <w:color w:val="000000"/>
          <w:w w:val="97"/>
          <w:sz w:val="18"/>
          <w:szCs w:val="18"/>
        </w:rPr>
        <w:t xml:space="preserve"> και όλων των συμβατικών στοιχείων του διαγωνισμού  που αναγράφεται στον τίτλο , καθώς και των συνθηκών εκτέλεσης της εργασίας, </w:t>
      </w:r>
      <w:r>
        <w:rPr>
          <w:rFonts w:ascii="Arial" w:hAnsi="Arial" w:cs="Arial"/>
          <w:color w:val="000000"/>
          <w:w w:val="99"/>
          <w:sz w:val="18"/>
          <w:szCs w:val="18"/>
        </w:rPr>
        <w:t>υποβάλλω την παρούσα προσφορά. ∆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ηλώνω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ότι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αποδέχοµαι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πλήρως και χωρίς επιφύλαξη όλα τα ανωτέρω και αναλαμβάνω την εκτέλεση των εργασιών επισκευής και συντήρησης των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οχηµάτων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του Δήμου Δράμας για το παρακάτω τμήμα εργασιών µε τα παρακάτω ποσοστά έκπτωσης στην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τιµή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ανά ώρα εργασίας επισκευής και επί των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τιµών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των ανταλλακτικών   :</w:t>
      </w: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b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b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I. Συμμετέχω στο παρακάτω ΤΜΗΜΑ</w:t>
      </w:r>
    </w:p>
    <w:p w:rsidR="00C347B8" w:rsidRDefault="00C347B8" w:rsidP="00C347B8">
      <w:pPr>
        <w:pStyle w:val="Standard"/>
        <w:widowControl w:val="0"/>
        <w:spacing w:line="304" w:lineRule="exact"/>
        <w:rPr>
          <w:rFonts w:ascii="Arial" w:hAnsi="Arial" w:cs="Arial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1.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 κινητήρων, κιβωτίων ταχυτήτων,  συμπλεκτών, αναρτήσεων,   συστημάτων πέδησης, συστημάτων δ/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νσης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κ.α. σε απορριμματοφόρα, φορτηγά, πλυντήρια κάδων,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καλαθοφόρο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όχημα, επιβατικά οχήματα,</w:t>
      </w: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δικύκλα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κ.α.</w:t>
      </w:r>
    </w:p>
    <w:p w:rsidR="00C347B8" w:rsidRDefault="00C347B8" w:rsidP="00C347B8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2.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υπερκατασκευών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 xml:space="preserve"> απορριμματοφόρων – ανοιχτών </w:t>
      </w:r>
      <w:r>
        <w:rPr>
          <w:rFonts w:ascii="Arial" w:hAnsi="Arial" w:cs="Arial"/>
          <w:color w:val="000000"/>
          <w:w w:val="99"/>
          <w:sz w:val="18"/>
          <w:szCs w:val="18"/>
        </w:rPr>
        <w:t>φορτηγών, πλυντηρίων κάδων κ.α..</w:t>
      </w:r>
    </w:p>
    <w:p w:rsidR="00C347B8" w:rsidRDefault="00C347B8" w:rsidP="00C347B8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3.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 κινητήρων, κιβωτίων ταχυτήτων,  συμπλεκτών, αναρτήσεων,   συστημάτων πέδησης, συστημάτων δ/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νσης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>,</w:t>
      </w:r>
      <w:r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περιστρεφόμενων σκουπών κ.α. των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μηχανικών σαρώθρων.   </w:t>
      </w:r>
    </w:p>
    <w:p w:rsidR="00C347B8" w:rsidRDefault="00C347B8" w:rsidP="00C347B8">
      <w:pPr>
        <w:pStyle w:val="Standard"/>
        <w:widowControl w:val="0"/>
        <w:spacing w:line="275" w:lineRule="exact"/>
        <w:rPr>
          <w:rFonts w:ascii="Arial" w:hAnsi="Arial" w:cs="Arial"/>
          <w:b/>
          <w:color w:val="000000"/>
          <w:w w:val="99"/>
          <w:sz w:val="18"/>
          <w:szCs w:val="18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 xml:space="preserve">      </w:t>
      </w:r>
    </w:p>
    <w:p w:rsidR="00C347B8" w:rsidRDefault="00C347B8" w:rsidP="00C347B8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4.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Ανταλλακτικά μηχανημάτων έργου, υδραυλικά συστήματα, συστήματα αέρος κ.α.</w:t>
      </w:r>
    </w:p>
    <w:p w:rsidR="00C347B8" w:rsidRDefault="00C347B8" w:rsidP="00C347B8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5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5.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Συντήρηση - επισκευή οργάνων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ελέγχου ταχύτητας οχημάτων.</w:t>
      </w:r>
    </w:p>
    <w:p w:rsidR="00C347B8" w:rsidRDefault="00C347B8" w:rsidP="00C347B8">
      <w:pPr>
        <w:pStyle w:val="Standard"/>
        <w:widowControl w:val="0"/>
        <w:spacing w:line="273" w:lineRule="exact"/>
        <w:rPr>
          <w:rFonts w:ascii="Arial" w:hAnsi="Arial" w:cs="Arial"/>
          <w:color w:val="000000"/>
          <w:w w:val="95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73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5"/>
          <w:sz w:val="18"/>
          <w:szCs w:val="18"/>
        </w:rPr>
        <w:t>6.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Συντήρηση και επισκευή ηλεκτρικών μερών.</w:t>
      </w:r>
    </w:p>
    <w:p w:rsidR="00C347B8" w:rsidRDefault="00C347B8" w:rsidP="00C347B8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 xml:space="preserve">7. </w:t>
      </w:r>
      <w:r>
        <w:rPr>
          <w:rFonts w:ascii="Arial" w:hAnsi="Arial" w:cs="Arial"/>
          <w:color w:val="000000"/>
          <w:w w:val="99"/>
          <w:sz w:val="18"/>
          <w:szCs w:val="18"/>
        </w:rPr>
        <w:t>Επισκευή και συντήρηση</w:t>
      </w:r>
      <w:r w:rsidRPr="00477178"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υπερκατασκευών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</w:rPr>
        <w:t xml:space="preserve">απορριμματοφόρων – ανοιχτών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φορτηγών, πλυντηρίων κάδων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κ.α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κατασκευής της εταιρείας ΗΦΑΙΣΤΟΣ ΣΤΕΦΑΝΟΥ ΑΒΕ              </w:t>
      </w:r>
    </w:p>
    <w:p w:rsidR="00C347B8" w:rsidRDefault="00C347B8" w:rsidP="00C347B8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8.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</w:t>
      </w:r>
      <w:r w:rsidRPr="00477178"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υπερκατασκευών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</w:rPr>
        <w:t xml:space="preserve">απορριμματοφόρων – ανοιχτών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φορτηγών, πλυντηρίων  κάδων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κ.α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κατασκευής της εταιρείας </w:t>
      </w:r>
      <w:r>
        <w:rPr>
          <w:rFonts w:ascii="Arial" w:hAnsi="Arial" w:cs="Arial"/>
          <w:color w:val="000000"/>
          <w:w w:val="99"/>
          <w:sz w:val="18"/>
          <w:szCs w:val="18"/>
          <w:lang w:val="en-US"/>
        </w:rPr>
        <w:t>FARID</w:t>
      </w:r>
    </w:p>
    <w:p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9.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</w:rPr>
        <w:t xml:space="preserve">Συντήρηση – επισκευή οχημάτων </w:t>
      </w:r>
      <w:r>
        <w:rPr>
          <w:rFonts w:ascii="Arial" w:hAnsi="Arial" w:cs="Arial"/>
          <w:color w:val="000000"/>
          <w:w w:val="89"/>
          <w:sz w:val="18"/>
          <w:szCs w:val="18"/>
          <w:lang w:val="en-US"/>
        </w:rPr>
        <w:t>MERCEDES</w:t>
      </w:r>
    </w:p>
    <w:p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10.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Συντήρηση – επισκευή αντλιών πετρελαίου,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υπερσυµπιεστών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κ.α.</w:t>
      </w:r>
    </w:p>
    <w:p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b/>
          <w:bCs/>
          <w:color w:val="000000"/>
          <w:w w:val="99"/>
          <w:sz w:val="22"/>
          <w:szCs w:val="22"/>
        </w:rPr>
      </w:pPr>
    </w:p>
    <w:p w:rsidR="00C347B8" w:rsidRPr="00745A62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bCs/>
          <w:color w:val="000000"/>
          <w:w w:val="99"/>
          <w:sz w:val="18"/>
          <w:szCs w:val="18"/>
        </w:rPr>
      </w:pPr>
      <w:r w:rsidRPr="009B40FB">
        <w:rPr>
          <w:rFonts w:ascii="Arial" w:hAnsi="Arial" w:cs="Arial"/>
          <w:b/>
          <w:bCs/>
          <w:color w:val="000000"/>
          <w:w w:val="99"/>
          <w:sz w:val="18"/>
          <w:szCs w:val="18"/>
        </w:rPr>
        <w:t>11</w:t>
      </w:r>
      <w:r w:rsidRPr="00745A62">
        <w:rPr>
          <w:rFonts w:ascii="Arial" w:hAnsi="Arial" w:cs="Arial"/>
          <w:bCs/>
          <w:color w:val="000000"/>
          <w:w w:val="99"/>
          <w:sz w:val="18"/>
          <w:szCs w:val="18"/>
        </w:rPr>
        <w:t>. Εργασίες Φανοποιείου - Βαφείου</w:t>
      </w:r>
    </w:p>
    <w:p w:rsidR="00C347B8" w:rsidRDefault="00C347B8" w:rsidP="00C347B8">
      <w:pPr>
        <w:pStyle w:val="Standard"/>
        <w:widowControl w:val="0"/>
        <w:spacing w:line="260" w:lineRule="exact"/>
        <w:ind w:right="-136"/>
        <w:rPr>
          <w:rFonts w:ascii="Arial" w:hAnsi="Arial" w:cs="Arial"/>
          <w:b/>
          <w:bCs/>
          <w:color w:val="000000"/>
          <w:w w:val="99"/>
          <w:sz w:val="22"/>
          <w:szCs w:val="22"/>
        </w:rPr>
      </w:pP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ab/>
        <w:t xml:space="preserve">  </w:t>
      </w:r>
    </w:p>
    <w:p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 xml:space="preserve">                    </w:t>
      </w:r>
    </w:p>
    <w:p w:rsidR="00C347B8" w:rsidRDefault="00C347B8" w:rsidP="00C347B8">
      <w:pPr>
        <w:pStyle w:val="Standard"/>
        <w:widowControl w:val="0"/>
        <w:spacing w:line="266" w:lineRule="exac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206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1724"/>
        <w:gridCol w:w="2370"/>
        <w:gridCol w:w="3586"/>
        <w:gridCol w:w="2526"/>
      </w:tblGrid>
      <w:tr w:rsidR="00C347B8" w:rsidTr="00C347B8">
        <w:tc>
          <w:tcPr>
            <w:tcW w:w="1020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ind w:hanging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ΕΡΓΑΣΙΕΣ (α): ΠΡΟΣΦΕΡΟΜΕΝΟ ΠΟΣΟΣΤΟ ΕΚΠΤΩΣΗΣ (%) ΕΡΓΑΣΙΩΝ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c>
          <w:tcPr>
            <w:tcW w:w="1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ΣΥΜΒΟΛΟ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ΤΙΜΗ ΠΡΟΥΠΟΛΟΓΙΣΜΟΥ ΕΡΓΑΣΙΑΣ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(ποσό σε ΕΥΡΩ/ώρα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χωρίς ΦΠΑ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(α)</w:t>
            </w: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ΠΡΟΣΦΕΡΟΜΕΝΟ ΠΟΣΟΣΤΟ ΕΚΠΤΩΣΗΣ (%)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rPr>
          <w:trHeight w:val="1160"/>
        </w:trPr>
        <w:tc>
          <w:tcPr>
            <w:tcW w:w="172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(α)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τις εργασίες Επισκευής &amp; Συντήρησης όπως αυτές υποδεικνύονται στο αντίστοιχο  τμήμα (ποσοστιαία έκπτωση στην χρέωση/ώρα)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36,00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rPr>
          <w:trHeight w:val="1490"/>
        </w:trPr>
        <w:tc>
          <w:tcPr>
            <w:tcW w:w="172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Τριάντα έξι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</w:tr>
    </w:tbl>
    <w:p w:rsidR="00C347B8" w:rsidRDefault="00C347B8" w:rsidP="00C347B8">
      <w:pPr>
        <w:pStyle w:val="2"/>
        <w:rPr>
          <w:rFonts w:ascii="Arial" w:hAnsi="Arial" w:cs="Arial"/>
          <w:b/>
          <w:sz w:val="18"/>
          <w:szCs w:val="18"/>
          <w:u w:val="single"/>
        </w:rPr>
      </w:pPr>
    </w:p>
    <w:p w:rsidR="00C347B8" w:rsidRDefault="00C347B8" w:rsidP="00C347B8">
      <w:pPr>
        <w:pStyle w:val="2"/>
        <w:rPr>
          <w:rFonts w:ascii="Arial" w:hAnsi="Arial" w:cs="Arial"/>
          <w:b/>
          <w:sz w:val="22"/>
          <w:u w:val="single"/>
        </w:rPr>
      </w:pPr>
    </w:p>
    <w:tbl>
      <w:tblPr>
        <w:tblW w:w="10206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1786"/>
        <w:gridCol w:w="2286"/>
        <w:gridCol w:w="2385"/>
        <w:gridCol w:w="3749"/>
      </w:tblGrid>
      <w:tr w:rsidR="00C347B8" w:rsidTr="00C347B8">
        <w:tc>
          <w:tcPr>
            <w:tcW w:w="1020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</w:pPr>
            <w:r>
              <w:rPr>
                <w:rFonts w:ascii="Arial" w:hAnsi="Arial" w:cs="Arial"/>
                <w:b/>
                <w:sz w:val="18"/>
                <w:szCs w:val="18"/>
              </w:rPr>
              <w:t>ΑΝΤΑΛΛΑΚΤΙΚΑ (β): ΠΡΟΣΦΕΡΟΜΕΝΟ ΠΟΣΟΣΤΟ ΕΚΠΤΩΣΗΣ (%) ΑΝΤΑΛΛΑΚΤΙΚΩΝ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c>
          <w:tcPr>
            <w:tcW w:w="17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ΣΥΜΒΟΛΟ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(β)</w:t>
            </w: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ΠΡΟΣΦΕΡΟΜΕΝΟ ΠΟΣΟΣΤΟ ΕΚΠΤΩΣΗΣ (%)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rPr>
          <w:trHeight w:val="1160"/>
        </w:trPr>
        <w:tc>
          <w:tcPr>
            <w:tcW w:w="1786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(β)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Επί της αξίας των τιμών των ανταλλακτικών, :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(ποσοστιαία % έκπτωση)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rPr>
          <w:trHeight w:val="1490"/>
        </w:trPr>
        <w:tc>
          <w:tcPr>
            <w:tcW w:w="1786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</w:tr>
      <w:tr w:rsidR="00C347B8" w:rsidTr="00C347B8">
        <w:tc>
          <w:tcPr>
            <w:tcW w:w="1020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</w:pPr>
            <w:r>
              <w:rPr>
                <w:rFonts w:ascii="Arial" w:hAnsi="Arial" w:cs="Arial"/>
                <w:b/>
                <w:sz w:val="18"/>
                <w:szCs w:val="18"/>
              </w:rPr>
              <w:t>ΠΟΣΟΣΤΙΑΙΑ ΜΕΣΗ ΕΚΠΤΩΣΗ ΑΝΑ ΩΡΑ ΕΡΓΑΣΙΑΣ ΚΑΙ ΤΙΜΗΣ ΑΝΤΑΛΛΑΚΤΙΚΩΝ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c>
          <w:tcPr>
            <w:tcW w:w="645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Ποσοστιαία Μέση Έκπτωση =[(αΧ55%)+(βΧ45%)]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(με την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προυπόθεση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επί ποινή αποκλεισμού,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β≥α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rPr>
          <w:trHeight w:val="1160"/>
        </w:trPr>
        <w:tc>
          <w:tcPr>
            <w:tcW w:w="6457" w:type="dxa"/>
            <w:gridSpan w:val="3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Π.Μ.Ε.=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(αΧ55%)+(βΧ45%)]=[(…………Χ55%)+(………Χ45%)]=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………………………………………….%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</w:tr>
      <w:tr w:rsidR="00C347B8" w:rsidTr="00C347B8">
        <w:tblPrEx>
          <w:tblCellMar>
            <w:left w:w="10" w:type="dxa"/>
            <w:right w:w="10" w:type="dxa"/>
          </w:tblCellMar>
        </w:tblPrEx>
        <w:trPr>
          <w:trHeight w:val="1490"/>
        </w:trPr>
        <w:tc>
          <w:tcPr>
            <w:tcW w:w="6457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47B8" w:rsidRDefault="00C347B8" w:rsidP="003A1E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47B8" w:rsidRDefault="00C347B8" w:rsidP="003A1E29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………………………………………….%</w:t>
            </w: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7B8" w:rsidRDefault="00C347B8" w:rsidP="003A1E29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</w:tr>
    </w:tbl>
    <w:p w:rsidR="00C347B8" w:rsidRDefault="00C347B8" w:rsidP="00C347B8">
      <w:pPr>
        <w:pStyle w:val="2"/>
        <w:rPr>
          <w:rFonts w:ascii="Arial" w:hAnsi="Arial" w:cs="Arial"/>
          <w:b/>
          <w:sz w:val="18"/>
          <w:szCs w:val="18"/>
          <w:u w:val="single"/>
        </w:rPr>
      </w:pPr>
    </w:p>
    <w:p w:rsidR="00C347B8" w:rsidRDefault="00C347B8" w:rsidP="00C347B8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Ο προσφέρων</w:t>
      </w:r>
    </w:p>
    <w:p w:rsidR="00C347B8" w:rsidRDefault="00C347B8" w:rsidP="00C347B8">
      <w:pPr>
        <w:pStyle w:val="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σφραγίδα - υπογραφή</w:t>
      </w:r>
    </w:p>
    <w:p w:rsidR="00B778A5" w:rsidRDefault="00B778A5"/>
    <w:sectPr w:rsidR="00B77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A1"/>
    <w:rsid w:val="001133A1"/>
    <w:rsid w:val="008D1C6A"/>
    <w:rsid w:val="00B778A5"/>
    <w:rsid w:val="00C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D9B"/>
  <w15:chartTrackingRefBased/>
  <w15:docId w15:val="{A45F4608-4E41-4891-82E6-1E8FA3B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7B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7B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Óôõë2"/>
    <w:basedOn w:val="Standard"/>
    <w:rsid w:val="00C347B8"/>
    <w:rPr>
      <w:rFonts w:eastAsia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Αδαμαντίδης</dc:creator>
  <cp:keywords/>
  <dc:description/>
  <cp:lastModifiedBy>Γεώργιος Αδαμαντίδης</cp:lastModifiedBy>
  <cp:revision>3</cp:revision>
  <dcterms:created xsi:type="dcterms:W3CDTF">2022-04-05T10:02:00Z</dcterms:created>
  <dcterms:modified xsi:type="dcterms:W3CDTF">2022-04-05T10:23:00Z</dcterms:modified>
</cp:coreProperties>
</file>