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E5" w:rsidRPr="008D353C" w:rsidRDefault="00A96FE5" w:rsidP="00A96FE5">
      <w:pPr>
        <w:pStyle w:val="2"/>
        <w:ind w:left="0" w:firstLine="0"/>
        <w:rPr>
          <w:rFonts w:ascii="Calibri" w:hAnsi="Calibri" w:cs="Calibri"/>
          <w:iCs/>
          <w:sz w:val="28"/>
          <w:szCs w:val="28"/>
          <w:lang w:val="el-GR"/>
        </w:rPr>
      </w:pPr>
      <w:r w:rsidRPr="008D353C">
        <w:rPr>
          <w:rFonts w:ascii="Calibri" w:hAnsi="Calibri" w:cs="Calibri"/>
          <w:iCs/>
          <w:sz w:val="28"/>
          <w:szCs w:val="28"/>
          <w:lang w:val="el-GR"/>
        </w:rPr>
        <w:t>ΠΑΡΑΡΤΗΜΑ ΙΙ</w:t>
      </w:r>
      <w:r>
        <w:rPr>
          <w:rFonts w:ascii="Calibri" w:hAnsi="Calibri" w:cs="Calibri"/>
          <w:iCs/>
          <w:sz w:val="28"/>
          <w:szCs w:val="28"/>
          <w:lang w:val="el-GR"/>
        </w:rPr>
        <w:t>Ι</w:t>
      </w:r>
      <w:r w:rsidRPr="008D353C">
        <w:rPr>
          <w:rFonts w:ascii="Calibri" w:hAnsi="Calibri" w:cs="Calibri"/>
          <w:iCs/>
          <w:sz w:val="28"/>
          <w:szCs w:val="28"/>
          <w:lang w:val="el-GR"/>
        </w:rPr>
        <w:t xml:space="preserve"> –  </w:t>
      </w:r>
      <w:r w:rsidRPr="00383968">
        <w:rPr>
          <w:rFonts w:ascii="Calibri" w:hAnsi="Calibri" w:cs="Calibri"/>
          <w:iCs/>
          <w:sz w:val="28"/>
          <w:szCs w:val="28"/>
          <w:lang w:val="el-GR"/>
        </w:rPr>
        <w:t>ΥΠΟΔΕΙΓΜΑ ΟΙΚΟΝΟΜΙΚΗΣ ΠΡΟΣΦΟΡΑΣ</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45"/>
        <w:gridCol w:w="4994"/>
        <w:gridCol w:w="1139"/>
        <w:gridCol w:w="1412"/>
        <w:gridCol w:w="1134"/>
      </w:tblGrid>
      <w:tr w:rsidR="00A96FE5" w:rsidRPr="00C845B5" w:rsidTr="00577E12">
        <w:trPr>
          <w:trHeight w:val="855"/>
          <w:jc w:val="center"/>
        </w:trPr>
        <w:tc>
          <w:tcPr>
            <w:tcW w:w="6055" w:type="dxa"/>
            <w:gridSpan w:val="3"/>
            <w:shd w:val="clear" w:color="auto" w:fill="D0CECE"/>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Π.1 Ανάλυση Υφιστάμενης Κατάστασης</w:t>
            </w:r>
          </w:p>
        </w:tc>
        <w:tc>
          <w:tcPr>
            <w:tcW w:w="1139"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Υπεύθυνος Έργου</w:t>
            </w:r>
          </w:p>
        </w:tc>
        <w:tc>
          <w:tcPr>
            <w:tcW w:w="1412"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Αναπληρωτής Υπεύθυνος Έργου</w:t>
            </w:r>
          </w:p>
        </w:tc>
        <w:tc>
          <w:tcPr>
            <w:tcW w:w="1134"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Μέλη ομάδας έργου (</w:t>
            </w:r>
            <w:r>
              <w:rPr>
                <w:b/>
                <w:bCs/>
                <w:color w:val="000000"/>
                <w:sz w:val="20"/>
                <w:szCs w:val="20"/>
                <w:lang w:val="el-GR" w:eastAsia="el-GR" w:bidi="he-IL"/>
              </w:rPr>
              <w:t>6</w:t>
            </w:r>
            <w:r w:rsidRPr="00C845B5">
              <w:rPr>
                <w:b/>
                <w:bCs/>
                <w:color w:val="000000"/>
                <w:sz w:val="20"/>
                <w:szCs w:val="20"/>
                <w:lang w:val="el-GR" w:eastAsia="el-GR" w:bidi="he-IL"/>
              </w:rPr>
              <w:t>)</w:t>
            </w:r>
          </w:p>
        </w:tc>
      </w:tr>
      <w:tr w:rsidR="00A96FE5" w:rsidRPr="00C845B5" w:rsidTr="00577E12">
        <w:trPr>
          <w:trHeight w:val="570"/>
          <w:jc w:val="center"/>
        </w:trPr>
        <w:tc>
          <w:tcPr>
            <w:tcW w:w="616" w:type="dxa"/>
            <w:vMerge w:val="restart"/>
            <w:shd w:val="clear" w:color="auto" w:fill="auto"/>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Π.1α</w:t>
            </w: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i</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Καταγραφή και αξιολόγηση στοιχείων των υφιστάμενων ή εκπονούμενων στρατηγικών σχεδίων</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22</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Καταγραφή των υφιστάμενων δεδομένων και εντοπισμός τυχόν εμποδίων για την ανάπτυξη </w:t>
            </w:r>
            <w:proofErr w:type="spellStart"/>
            <w:r w:rsidRPr="00C845B5">
              <w:rPr>
                <w:color w:val="000000"/>
                <w:sz w:val="20"/>
                <w:szCs w:val="20"/>
                <w:lang w:val="el-GR" w:eastAsia="el-GR" w:bidi="he-IL"/>
              </w:rPr>
              <w:t>προσβάσιμης</w:t>
            </w:r>
            <w:proofErr w:type="spellEnd"/>
            <w:r w:rsidRPr="00C845B5">
              <w:rPr>
                <w:color w:val="000000"/>
                <w:sz w:val="20"/>
                <w:szCs w:val="20"/>
                <w:lang w:val="el-GR" w:eastAsia="el-GR" w:bidi="he-IL"/>
              </w:rPr>
              <w:t xml:space="preserve"> αλυσίδας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22</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Καταγραφή και αποτίμηση των σχετικών στοιχείων των πολεοδομικών και πληθυσμιακών χαρακτηριστικών της περιοχής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24</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iv</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Καταγραφή και αποτίμηση των κυκλοφοριακών χαρακτηριστικών της περιοχής παρέμβασης σε συνάρτηση με την κίνηση των πεζών</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26</w:t>
            </w:r>
          </w:p>
        </w:tc>
      </w:tr>
      <w:tr w:rsidR="00A96FE5" w:rsidRPr="00C845B5" w:rsidTr="00577E12">
        <w:trPr>
          <w:trHeight w:val="855"/>
          <w:jc w:val="center"/>
        </w:trPr>
        <w:tc>
          <w:tcPr>
            <w:tcW w:w="616" w:type="dxa"/>
            <w:vMerge w:val="restart"/>
            <w:shd w:val="clear" w:color="auto" w:fill="auto"/>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Π.1β</w:t>
            </w: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i</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υπό διαμόρφωση υπαίθριοι δημόσιοι Κ.Χ. για τους οποίους έχει ολοκληρωθεί ή εκπονείται Μελέτη προσβασιμότητας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114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τα λοιπά σημεία στους υπαίθριους δημόσιους Κ.Χ. που χρειάζονται επεμβάσεις εξασφάλισης της προσβασιμότητας και </w:t>
            </w:r>
            <w:proofErr w:type="spellStart"/>
            <w:r w:rsidRPr="00C845B5">
              <w:rPr>
                <w:color w:val="000000"/>
                <w:sz w:val="20"/>
                <w:szCs w:val="20"/>
                <w:lang w:val="el-GR" w:eastAsia="el-GR" w:bidi="he-IL"/>
              </w:rPr>
              <w:t>προσβάσιμης</w:t>
            </w:r>
            <w:proofErr w:type="spellEnd"/>
            <w:r w:rsidRPr="00C845B5">
              <w:rPr>
                <w:color w:val="000000"/>
                <w:sz w:val="20"/>
                <w:szCs w:val="20"/>
                <w:lang w:val="el-GR" w:eastAsia="el-GR" w:bidi="he-IL"/>
              </w:rPr>
              <w:t xml:space="preserve"> αλυσίδας </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85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τυχόν ορισμένα σημεία καταφυγής και οι οδεύσεις διαφυγής των πολιτών που κινούνται πεζή, σε περίπτωση έκτακτης ανάγκης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114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iv</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τυχόν ορισμένοι υπαίθριοι κοινόχρηστοι χώροι εκτόνωσης των ατόμων με αναπηρία, των εμποδιζόμενων ατόμων και κατ’ επέκταση όλων των πολιτών σε περίπτωση έκτακτης ανάγκης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18</w:t>
            </w:r>
          </w:p>
        </w:tc>
      </w:tr>
      <w:tr w:rsidR="00A96FE5" w:rsidRPr="00C845B5" w:rsidTr="00577E12">
        <w:trPr>
          <w:trHeight w:val="85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v</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w:t>
            </w:r>
            <w:proofErr w:type="spellStart"/>
            <w:r w:rsidRPr="00C845B5">
              <w:rPr>
                <w:color w:val="000000"/>
                <w:sz w:val="20"/>
                <w:szCs w:val="20"/>
                <w:lang w:val="el-GR" w:eastAsia="el-GR" w:bidi="he-IL"/>
              </w:rPr>
              <w:t>χωροθετημένες</w:t>
            </w:r>
            <w:proofErr w:type="spellEnd"/>
            <w:r w:rsidRPr="00C845B5">
              <w:rPr>
                <w:color w:val="000000"/>
                <w:sz w:val="20"/>
                <w:szCs w:val="20"/>
                <w:lang w:val="el-GR" w:eastAsia="el-GR" w:bidi="he-IL"/>
              </w:rPr>
              <w:t xml:space="preserve"> θέσεις στάθμευσης </w:t>
            </w:r>
            <w:proofErr w:type="spellStart"/>
            <w:r w:rsidRPr="00C845B5">
              <w:rPr>
                <w:color w:val="000000"/>
                <w:sz w:val="20"/>
                <w:szCs w:val="20"/>
                <w:lang w:val="el-GR" w:eastAsia="el-GR" w:bidi="he-IL"/>
              </w:rPr>
              <w:t>ΑμεΑ</w:t>
            </w:r>
            <w:proofErr w:type="spellEnd"/>
            <w:r w:rsidRPr="00C845B5">
              <w:rPr>
                <w:color w:val="000000"/>
                <w:sz w:val="20"/>
                <w:szCs w:val="20"/>
                <w:lang w:val="el-GR" w:eastAsia="el-GR" w:bidi="he-IL"/>
              </w:rPr>
              <w:t xml:space="preserve">/οι </w:t>
            </w:r>
            <w:proofErr w:type="spellStart"/>
            <w:r w:rsidRPr="00C845B5">
              <w:rPr>
                <w:color w:val="000000"/>
                <w:sz w:val="20"/>
                <w:szCs w:val="20"/>
                <w:lang w:val="el-GR" w:eastAsia="el-GR" w:bidi="he-IL"/>
              </w:rPr>
              <w:t>χωροθετημένες</w:t>
            </w:r>
            <w:proofErr w:type="spellEnd"/>
            <w:r w:rsidRPr="00C845B5">
              <w:rPr>
                <w:color w:val="000000"/>
                <w:sz w:val="20"/>
                <w:szCs w:val="20"/>
                <w:lang w:val="el-GR" w:eastAsia="el-GR" w:bidi="he-IL"/>
              </w:rPr>
              <w:t xml:space="preserve"> θέσεις στάθμευσης </w:t>
            </w:r>
            <w:proofErr w:type="spellStart"/>
            <w:r w:rsidRPr="00C845B5">
              <w:rPr>
                <w:color w:val="000000"/>
                <w:sz w:val="20"/>
                <w:szCs w:val="20"/>
                <w:lang w:val="el-GR" w:eastAsia="el-GR" w:bidi="he-IL"/>
              </w:rPr>
              <w:t>ΑμεΑ</w:t>
            </w:r>
            <w:proofErr w:type="spellEnd"/>
            <w:r w:rsidRPr="00C845B5">
              <w:rPr>
                <w:color w:val="000000"/>
                <w:sz w:val="20"/>
                <w:szCs w:val="20"/>
                <w:lang w:val="el-GR" w:eastAsia="el-GR" w:bidi="he-IL"/>
              </w:rPr>
              <w:t xml:space="preserve"> για Η/Ο</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vi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υπαίθριοι και στεγασμένοι δημοτικοί χώροι στάθμευσης </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vii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υφιστάμενοι και υπό υλοποίηση </w:t>
            </w:r>
            <w:proofErr w:type="spellStart"/>
            <w:r w:rsidRPr="00C845B5">
              <w:rPr>
                <w:color w:val="000000"/>
                <w:sz w:val="20"/>
                <w:szCs w:val="20"/>
                <w:lang w:val="el-GR" w:eastAsia="el-GR" w:bidi="he-IL"/>
              </w:rPr>
              <w:t>ποδηλατόδρομοι</w:t>
            </w:r>
            <w:proofErr w:type="spellEnd"/>
            <w:r w:rsidRPr="00C845B5">
              <w:rPr>
                <w:color w:val="000000"/>
                <w:sz w:val="20"/>
                <w:szCs w:val="20"/>
                <w:lang w:val="el-GR" w:eastAsia="el-GR" w:bidi="he-IL"/>
              </w:rPr>
              <w:t xml:space="preserve"> </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85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viii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τερματικοί σταθμοί και οι στάσεις των ΜΜΜ σε συνάρτηση με τον Κ.Χ. που μελετάται</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18</w:t>
            </w:r>
          </w:p>
        </w:tc>
      </w:tr>
      <w:tr w:rsidR="00A96FE5" w:rsidRPr="00C845B5" w:rsidTr="00577E12">
        <w:trPr>
          <w:trHeight w:val="85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ix</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w:t>
            </w:r>
            <w:proofErr w:type="spellStart"/>
            <w:r w:rsidRPr="00C845B5">
              <w:rPr>
                <w:color w:val="000000"/>
                <w:sz w:val="20"/>
                <w:szCs w:val="20"/>
                <w:lang w:val="el-GR" w:eastAsia="el-GR" w:bidi="he-IL"/>
              </w:rPr>
              <w:t>χωροθετημένες</w:t>
            </w:r>
            <w:proofErr w:type="spellEnd"/>
            <w:r w:rsidRPr="00C845B5">
              <w:rPr>
                <w:color w:val="000000"/>
                <w:sz w:val="20"/>
                <w:szCs w:val="20"/>
                <w:lang w:val="el-GR" w:eastAsia="el-GR" w:bidi="he-IL"/>
              </w:rPr>
              <w:t xml:space="preserve"> μονάδες πρωτοβάθμιας και δευτεροβάθμιας υγείας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16</w:t>
            </w:r>
          </w:p>
        </w:tc>
      </w:tr>
      <w:tr w:rsidR="00A96FE5" w:rsidRPr="00C845B5" w:rsidTr="00577E12">
        <w:trPr>
          <w:trHeight w:val="142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x</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τα δημόσια κτίρια ή τα κτίρια που στεγάζουν δημόσιες υπηρεσίες και άλλες χρήσεις τα οποία απαιτείται να γίνουν </w:t>
            </w:r>
            <w:proofErr w:type="spellStart"/>
            <w:r w:rsidRPr="00C845B5">
              <w:rPr>
                <w:color w:val="000000"/>
                <w:sz w:val="20"/>
                <w:szCs w:val="20"/>
                <w:lang w:val="el-GR" w:eastAsia="el-GR" w:bidi="he-IL"/>
              </w:rPr>
              <w:t>προσβάσιμα</w:t>
            </w:r>
            <w:proofErr w:type="spellEnd"/>
            <w:r w:rsidRPr="00C845B5">
              <w:rPr>
                <w:color w:val="000000"/>
                <w:sz w:val="20"/>
                <w:szCs w:val="20"/>
                <w:lang w:val="el-GR" w:eastAsia="el-GR" w:bidi="he-IL"/>
              </w:rPr>
              <w:t>, καθώς και ιδιαίτερα σημεία ενδιαφέροντος της περιοχής παρέμβασης και μελλοντικά αναπτυσσόμενα σημεία ενδιαφέροντος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18</w:t>
            </w:r>
          </w:p>
        </w:tc>
      </w:tr>
      <w:tr w:rsidR="00A96FE5" w:rsidRPr="00C845B5" w:rsidTr="00577E12">
        <w:trPr>
          <w:trHeight w:val="300"/>
          <w:jc w:val="center"/>
        </w:trPr>
        <w:tc>
          <w:tcPr>
            <w:tcW w:w="6055" w:type="dxa"/>
            <w:gridSpan w:val="3"/>
            <w:shd w:val="clear" w:color="auto" w:fill="D9E2F3"/>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ΣΥΝΟΛΟ (ΑΝΘΡΩΠΟΗΜΕΡΕΣ)</w:t>
            </w:r>
          </w:p>
        </w:tc>
        <w:tc>
          <w:tcPr>
            <w:tcW w:w="1139"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45</w:t>
            </w:r>
          </w:p>
        </w:tc>
        <w:tc>
          <w:tcPr>
            <w:tcW w:w="1412"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61</w:t>
            </w:r>
          </w:p>
        </w:tc>
        <w:tc>
          <w:tcPr>
            <w:tcW w:w="1134"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260</w:t>
            </w:r>
          </w:p>
        </w:tc>
      </w:tr>
      <w:tr w:rsidR="00A96FE5" w:rsidRPr="00C845B5" w:rsidTr="00577E12">
        <w:trPr>
          <w:trHeight w:val="300"/>
          <w:jc w:val="center"/>
        </w:trPr>
        <w:tc>
          <w:tcPr>
            <w:tcW w:w="6055" w:type="dxa"/>
            <w:gridSpan w:val="3"/>
            <w:shd w:val="clear" w:color="auto" w:fill="D9E2F3"/>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ΣΥΝΟΛΟ (ΑΝΘΡΩΠΟΜΗΝ</w:t>
            </w:r>
            <w:r>
              <w:rPr>
                <w:b/>
                <w:bCs/>
                <w:color w:val="000000"/>
                <w:sz w:val="20"/>
                <w:szCs w:val="20"/>
                <w:lang w:val="en-US" w:eastAsia="el-GR" w:bidi="he-IL"/>
              </w:rPr>
              <w:t>E</w:t>
            </w:r>
            <w:r w:rsidRPr="00C845B5">
              <w:rPr>
                <w:b/>
                <w:bCs/>
                <w:color w:val="000000"/>
                <w:sz w:val="20"/>
                <w:szCs w:val="20"/>
                <w:lang w:val="el-GR" w:eastAsia="el-GR" w:bidi="he-IL"/>
              </w:rPr>
              <w:t>Σ)</w:t>
            </w:r>
          </w:p>
        </w:tc>
        <w:tc>
          <w:tcPr>
            <w:tcW w:w="1139"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2,0455</w:t>
            </w:r>
          </w:p>
        </w:tc>
        <w:tc>
          <w:tcPr>
            <w:tcW w:w="1412"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2,7727</w:t>
            </w:r>
          </w:p>
        </w:tc>
        <w:tc>
          <w:tcPr>
            <w:tcW w:w="1134"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11,8182</w:t>
            </w:r>
          </w:p>
        </w:tc>
      </w:tr>
      <w:tr w:rsidR="00A96FE5" w:rsidRPr="00C845B5" w:rsidTr="00577E12">
        <w:trPr>
          <w:trHeight w:val="525"/>
          <w:jc w:val="center"/>
        </w:trPr>
        <w:tc>
          <w:tcPr>
            <w:tcW w:w="6055" w:type="dxa"/>
            <w:gridSpan w:val="3"/>
            <w:shd w:val="clear" w:color="auto" w:fill="D0CECE"/>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Π.2 Πρόταση</w:t>
            </w:r>
          </w:p>
        </w:tc>
        <w:tc>
          <w:tcPr>
            <w:tcW w:w="1139"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Υπεύθυνος Έργου</w:t>
            </w:r>
          </w:p>
        </w:tc>
        <w:tc>
          <w:tcPr>
            <w:tcW w:w="1412"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Αναπληρωτής Υπεύθυνος Έργου</w:t>
            </w:r>
          </w:p>
        </w:tc>
        <w:tc>
          <w:tcPr>
            <w:tcW w:w="1134" w:type="dxa"/>
            <w:shd w:val="clear" w:color="auto" w:fill="D0CECE"/>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Μέλη ομάδας έργου (</w:t>
            </w:r>
            <w:r>
              <w:rPr>
                <w:b/>
                <w:bCs/>
                <w:color w:val="000000"/>
                <w:sz w:val="20"/>
                <w:szCs w:val="20"/>
                <w:lang w:val="el-GR" w:eastAsia="el-GR" w:bidi="he-IL"/>
              </w:rPr>
              <w:t>6</w:t>
            </w:r>
            <w:r w:rsidRPr="00C845B5">
              <w:rPr>
                <w:b/>
                <w:bCs/>
                <w:color w:val="000000"/>
                <w:sz w:val="20"/>
                <w:szCs w:val="20"/>
                <w:lang w:val="el-GR" w:eastAsia="el-GR" w:bidi="he-IL"/>
              </w:rPr>
              <w:t>)</w:t>
            </w:r>
          </w:p>
        </w:tc>
      </w:tr>
      <w:tr w:rsidR="00A96FE5" w:rsidRPr="00C845B5" w:rsidTr="00577E12">
        <w:trPr>
          <w:trHeight w:val="1425"/>
          <w:jc w:val="center"/>
        </w:trPr>
        <w:tc>
          <w:tcPr>
            <w:tcW w:w="616" w:type="dxa"/>
            <w:vMerge w:val="restart"/>
            <w:shd w:val="clear" w:color="auto" w:fill="auto"/>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Π.2α</w:t>
            </w: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i</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τα σημεία και οι γραμμικές παρεμβάσεις στους υπαίθριους δημόσιους Κ.Χ. που χρειάζονται επεμβάσεις εξασφάλισης της προσβασιμότητας και </w:t>
            </w:r>
            <w:proofErr w:type="spellStart"/>
            <w:r w:rsidRPr="00C845B5">
              <w:rPr>
                <w:color w:val="000000"/>
                <w:sz w:val="20"/>
                <w:szCs w:val="20"/>
                <w:lang w:val="el-GR" w:eastAsia="el-GR" w:bidi="he-IL"/>
              </w:rPr>
              <w:t>προσβάσιμης</w:t>
            </w:r>
            <w:proofErr w:type="spellEnd"/>
            <w:r w:rsidRPr="00C845B5">
              <w:rPr>
                <w:color w:val="000000"/>
                <w:sz w:val="20"/>
                <w:szCs w:val="20"/>
                <w:lang w:val="el-GR" w:eastAsia="el-GR" w:bidi="he-IL"/>
              </w:rPr>
              <w:t xml:space="preserve"> αλυσίδας με διαφορετικό σύμβολο και χρώμα ανάλογα με το είδος της παρέμβασης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26</w:t>
            </w:r>
          </w:p>
        </w:tc>
      </w:tr>
      <w:tr w:rsidR="00A96FE5" w:rsidRPr="00C845B5" w:rsidTr="00577E12">
        <w:trPr>
          <w:trHeight w:val="85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προτεινόμενες διαδρομές (γραμμικά) προς τις σημαντικότερες κοινόχρηστες και κοινωφελείς χρήσεις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7</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24</w:t>
            </w:r>
          </w:p>
        </w:tc>
      </w:tr>
      <w:tr w:rsidR="00A96FE5" w:rsidRPr="00C845B5" w:rsidTr="00577E12">
        <w:trPr>
          <w:trHeight w:val="114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τα σημεία εισόδων των δημοσίων κτιρίων ή των κτιρίων που στεγάζουν δημόσιες υπηρεσίες και άλλες χρήσεις τα οποία απαιτείται να γίνουν </w:t>
            </w:r>
            <w:proofErr w:type="spellStart"/>
            <w:r w:rsidRPr="00C845B5">
              <w:rPr>
                <w:color w:val="000000"/>
                <w:sz w:val="20"/>
                <w:szCs w:val="20"/>
                <w:lang w:val="el-GR" w:eastAsia="el-GR" w:bidi="he-IL"/>
              </w:rPr>
              <w:t>προσβάσιμα</w:t>
            </w:r>
            <w:proofErr w:type="spellEnd"/>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4</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25</w:t>
            </w:r>
          </w:p>
        </w:tc>
      </w:tr>
      <w:tr w:rsidR="00A96FE5" w:rsidRPr="00C845B5" w:rsidTr="00577E12">
        <w:trPr>
          <w:trHeight w:val="114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iv</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τα προτεινόμενα ορισμένα σημεία καταφυγής και οι οδεύσεις διαφυγής των πολιτών που κινούνται πεζή, σε περίπτωση έκτακτης ανάγκης τα οποία απαιτείται να γίνουν </w:t>
            </w:r>
            <w:proofErr w:type="spellStart"/>
            <w:r w:rsidRPr="00C845B5">
              <w:rPr>
                <w:color w:val="000000"/>
                <w:sz w:val="20"/>
                <w:szCs w:val="20"/>
                <w:lang w:val="el-GR" w:eastAsia="el-GR" w:bidi="he-IL"/>
              </w:rPr>
              <w:t>προσβάσιμα</w:t>
            </w:r>
            <w:proofErr w:type="spellEnd"/>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25</w:t>
            </w:r>
          </w:p>
        </w:tc>
      </w:tr>
      <w:tr w:rsidR="00A96FE5" w:rsidRPr="00C845B5" w:rsidTr="00577E12">
        <w:trPr>
          <w:trHeight w:val="1425"/>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v</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προτεινόμενοι υπαίθριοι κοινόχρηστοι χώροι εκτόνωσης των ατόμων με αναπηρία, των εμποδιζόμενων ατόμων και κατ’ επέκταση όλων των πολιτών σε περίπτωση έκτακτης ανάγκης οι οποίοι απαιτούνται να γίνουν </w:t>
            </w:r>
            <w:proofErr w:type="spellStart"/>
            <w:r w:rsidRPr="00C845B5">
              <w:rPr>
                <w:color w:val="000000"/>
                <w:sz w:val="20"/>
                <w:szCs w:val="20"/>
                <w:lang w:val="el-GR" w:eastAsia="el-GR" w:bidi="he-IL"/>
              </w:rPr>
              <w:t>προσβάσιμοι</w:t>
            </w:r>
            <w:proofErr w:type="spellEnd"/>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24</w:t>
            </w:r>
          </w:p>
        </w:tc>
      </w:tr>
      <w:tr w:rsidR="00A96FE5" w:rsidRPr="00C845B5" w:rsidTr="00577E12">
        <w:trPr>
          <w:trHeight w:val="114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vi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 xml:space="preserve">Χάρτες της περιοχής του Δήμου σε μορφή διανυσματικών αρχείων τύπου </w:t>
            </w:r>
            <w:proofErr w:type="spellStart"/>
            <w:r w:rsidRPr="00C845B5">
              <w:rPr>
                <w:color w:val="000000"/>
                <w:sz w:val="20"/>
                <w:szCs w:val="20"/>
                <w:lang w:val="el-GR" w:eastAsia="el-GR" w:bidi="he-IL"/>
              </w:rPr>
              <w:t>shapefile</w:t>
            </w:r>
            <w:proofErr w:type="spellEnd"/>
            <w:r w:rsidRPr="00C845B5">
              <w:rPr>
                <w:color w:val="000000"/>
                <w:sz w:val="20"/>
                <w:szCs w:val="20"/>
                <w:lang w:val="el-GR" w:eastAsia="el-GR" w:bidi="he-IL"/>
              </w:rPr>
              <w:t xml:space="preserve"> όπου θα σημειώνονται οι προτεινόμενοι υπαίθριοι κοινόχρηστοι χώροι που μπορούν να λειτουργήσουν ως σημεία προσωρινής περίθαλψης σε περίπτωση έκτακτης ανάγκης οι οποίοι απαιτούνται να γίνουν </w:t>
            </w:r>
            <w:proofErr w:type="spellStart"/>
            <w:r w:rsidRPr="00C845B5">
              <w:rPr>
                <w:color w:val="000000"/>
                <w:sz w:val="20"/>
                <w:szCs w:val="20"/>
                <w:lang w:val="el-GR" w:eastAsia="el-GR" w:bidi="he-IL"/>
              </w:rPr>
              <w:t>προσβάσιμοι</w:t>
            </w:r>
            <w:proofErr w:type="spellEnd"/>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26</w:t>
            </w:r>
          </w:p>
        </w:tc>
      </w:tr>
      <w:tr w:rsidR="00A96FE5" w:rsidRPr="00C845B5" w:rsidTr="00577E12">
        <w:trPr>
          <w:trHeight w:val="570"/>
          <w:jc w:val="center"/>
        </w:trPr>
        <w:tc>
          <w:tcPr>
            <w:tcW w:w="616" w:type="dxa"/>
            <w:vMerge w:val="restart"/>
            <w:shd w:val="clear" w:color="auto" w:fill="auto"/>
            <w:noWrap/>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Π.2β</w:t>
            </w: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i</w:t>
            </w:r>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Πίνακας των προτεινόμενων στοιχείων αστικού εξοπλισμού, μηχανισμών και ειδικών κατασκευών για την εξασφάλιση της προσβασιμότητας</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5</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27,88884</w:t>
            </w:r>
          </w:p>
        </w:tc>
      </w:tr>
      <w:tr w:rsidR="00A96FE5" w:rsidRPr="00C845B5" w:rsidTr="00577E12">
        <w:trPr>
          <w:trHeight w:val="570"/>
          <w:jc w:val="center"/>
        </w:trPr>
        <w:tc>
          <w:tcPr>
            <w:tcW w:w="616" w:type="dxa"/>
            <w:vMerge/>
            <w:vAlign w:val="center"/>
            <w:hideMark/>
          </w:tcPr>
          <w:p w:rsidR="00A96FE5" w:rsidRPr="00C845B5" w:rsidRDefault="00A96FE5" w:rsidP="00577E12">
            <w:pPr>
              <w:suppressAutoHyphens w:val="0"/>
              <w:spacing w:after="0"/>
              <w:jc w:val="left"/>
              <w:rPr>
                <w:b/>
                <w:bCs/>
                <w:color w:val="000000"/>
                <w:sz w:val="20"/>
                <w:szCs w:val="20"/>
                <w:lang w:val="el-GR" w:eastAsia="el-GR" w:bidi="he-IL"/>
              </w:rPr>
            </w:pPr>
          </w:p>
        </w:tc>
        <w:tc>
          <w:tcPr>
            <w:tcW w:w="445" w:type="dxa"/>
            <w:shd w:val="clear" w:color="auto" w:fill="auto"/>
            <w:noWrap/>
            <w:vAlign w:val="center"/>
            <w:hideMark/>
          </w:tcPr>
          <w:p w:rsidR="00A96FE5" w:rsidRPr="00C845B5" w:rsidRDefault="00A96FE5" w:rsidP="00577E12">
            <w:pPr>
              <w:suppressAutoHyphens w:val="0"/>
              <w:spacing w:after="0"/>
              <w:jc w:val="left"/>
              <w:rPr>
                <w:color w:val="000000"/>
                <w:sz w:val="20"/>
                <w:szCs w:val="20"/>
                <w:lang w:val="el-GR" w:eastAsia="el-GR" w:bidi="he-IL"/>
              </w:rPr>
            </w:pPr>
            <w:proofErr w:type="spellStart"/>
            <w:r w:rsidRPr="00C845B5">
              <w:rPr>
                <w:color w:val="000000"/>
                <w:sz w:val="20"/>
                <w:szCs w:val="20"/>
                <w:lang w:val="el-GR" w:eastAsia="el-GR" w:bidi="he-IL"/>
              </w:rPr>
              <w:t>ii</w:t>
            </w:r>
            <w:proofErr w:type="spellEnd"/>
          </w:p>
        </w:tc>
        <w:tc>
          <w:tcPr>
            <w:tcW w:w="4994" w:type="dxa"/>
            <w:shd w:val="clear" w:color="auto" w:fill="auto"/>
            <w:vAlign w:val="center"/>
            <w:hideMark/>
          </w:tcPr>
          <w:p w:rsidR="00A96FE5" w:rsidRPr="00C845B5" w:rsidRDefault="00A96FE5" w:rsidP="00577E12">
            <w:pPr>
              <w:suppressAutoHyphens w:val="0"/>
              <w:spacing w:after="0"/>
              <w:jc w:val="left"/>
              <w:rPr>
                <w:color w:val="000000"/>
                <w:sz w:val="20"/>
                <w:szCs w:val="20"/>
                <w:lang w:val="el-GR" w:eastAsia="el-GR" w:bidi="he-IL"/>
              </w:rPr>
            </w:pPr>
            <w:r w:rsidRPr="00C845B5">
              <w:rPr>
                <w:color w:val="000000"/>
                <w:sz w:val="20"/>
                <w:szCs w:val="20"/>
                <w:lang w:val="el-GR" w:eastAsia="el-GR" w:bidi="he-IL"/>
              </w:rPr>
              <w:t>Χρονοδιάγραμμα, προγραμματισμός υλοποίησης των οριζόμενων από το Σ.Α.Π. απαιτούμενων διαμορφώσεων και κατασκευών</w:t>
            </w:r>
          </w:p>
        </w:tc>
        <w:tc>
          <w:tcPr>
            <w:tcW w:w="1139"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412"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6</w:t>
            </w:r>
          </w:p>
        </w:tc>
        <w:tc>
          <w:tcPr>
            <w:tcW w:w="1134" w:type="dxa"/>
            <w:shd w:val="clear" w:color="auto" w:fill="auto"/>
            <w:vAlign w:val="center"/>
            <w:hideMark/>
          </w:tcPr>
          <w:p w:rsidR="00A96FE5" w:rsidRPr="00C845B5" w:rsidRDefault="00A96FE5" w:rsidP="00577E12">
            <w:pPr>
              <w:suppressAutoHyphens w:val="0"/>
              <w:spacing w:after="0"/>
              <w:jc w:val="right"/>
              <w:rPr>
                <w:color w:val="000000"/>
                <w:sz w:val="20"/>
                <w:szCs w:val="20"/>
                <w:lang w:val="el-GR" w:eastAsia="el-GR" w:bidi="he-IL"/>
              </w:rPr>
            </w:pPr>
            <w:r w:rsidRPr="00C845B5">
              <w:rPr>
                <w:color w:val="000000"/>
                <w:sz w:val="20"/>
                <w:szCs w:val="20"/>
                <w:lang w:val="el-GR" w:eastAsia="el-GR" w:bidi="he-IL"/>
              </w:rPr>
              <w:t>34</w:t>
            </w:r>
          </w:p>
        </w:tc>
      </w:tr>
      <w:tr w:rsidR="00A96FE5" w:rsidRPr="00C845B5" w:rsidTr="00577E12">
        <w:trPr>
          <w:trHeight w:val="300"/>
          <w:jc w:val="center"/>
        </w:trPr>
        <w:tc>
          <w:tcPr>
            <w:tcW w:w="6055" w:type="dxa"/>
            <w:gridSpan w:val="3"/>
            <w:shd w:val="clear" w:color="auto" w:fill="D9E2F3"/>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ΣΥΝΟΛΟ (ΑΝΘΡΩΠΟΗΜΕΡΕΣ)</w:t>
            </w:r>
          </w:p>
        </w:tc>
        <w:tc>
          <w:tcPr>
            <w:tcW w:w="1139"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39</w:t>
            </w:r>
          </w:p>
        </w:tc>
        <w:tc>
          <w:tcPr>
            <w:tcW w:w="1412"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46</w:t>
            </w:r>
          </w:p>
        </w:tc>
        <w:tc>
          <w:tcPr>
            <w:tcW w:w="1134"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211,88884</w:t>
            </w:r>
          </w:p>
        </w:tc>
      </w:tr>
      <w:tr w:rsidR="00A96FE5" w:rsidRPr="00C845B5" w:rsidTr="00577E12">
        <w:trPr>
          <w:trHeight w:val="300"/>
          <w:jc w:val="center"/>
        </w:trPr>
        <w:tc>
          <w:tcPr>
            <w:tcW w:w="6055" w:type="dxa"/>
            <w:gridSpan w:val="3"/>
            <w:shd w:val="clear" w:color="auto" w:fill="D9E2F3"/>
            <w:vAlign w:val="center"/>
            <w:hideMark/>
          </w:tcPr>
          <w:p w:rsidR="00A96FE5" w:rsidRPr="00C845B5" w:rsidRDefault="00A96FE5" w:rsidP="00577E12">
            <w:pPr>
              <w:suppressAutoHyphens w:val="0"/>
              <w:spacing w:after="0"/>
              <w:jc w:val="left"/>
              <w:rPr>
                <w:b/>
                <w:bCs/>
                <w:color w:val="000000"/>
                <w:sz w:val="20"/>
                <w:szCs w:val="20"/>
                <w:lang w:val="el-GR" w:eastAsia="el-GR" w:bidi="he-IL"/>
              </w:rPr>
            </w:pPr>
            <w:r w:rsidRPr="00C845B5">
              <w:rPr>
                <w:b/>
                <w:bCs/>
                <w:color w:val="000000"/>
                <w:sz w:val="20"/>
                <w:szCs w:val="20"/>
                <w:lang w:val="el-GR" w:eastAsia="el-GR" w:bidi="he-IL"/>
              </w:rPr>
              <w:t>ΣΥΝΟΛΟ (ΑΝΘΡΩΠΟΜΗΝ</w:t>
            </w:r>
            <w:r>
              <w:rPr>
                <w:b/>
                <w:bCs/>
                <w:color w:val="000000"/>
                <w:sz w:val="20"/>
                <w:szCs w:val="20"/>
                <w:lang w:val="en-US" w:eastAsia="el-GR" w:bidi="he-IL"/>
              </w:rPr>
              <w:t>E</w:t>
            </w:r>
            <w:r w:rsidRPr="00C845B5">
              <w:rPr>
                <w:b/>
                <w:bCs/>
                <w:color w:val="000000"/>
                <w:sz w:val="20"/>
                <w:szCs w:val="20"/>
                <w:lang w:val="el-GR" w:eastAsia="el-GR" w:bidi="he-IL"/>
              </w:rPr>
              <w:t>Σ)</w:t>
            </w:r>
          </w:p>
        </w:tc>
        <w:tc>
          <w:tcPr>
            <w:tcW w:w="1139"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1,7727</w:t>
            </w:r>
          </w:p>
        </w:tc>
        <w:tc>
          <w:tcPr>
            <w:tcW w:w="1412"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2,0909</w:t>
            </w:r>
          </w:p>
        </w:tc>
        <w:tc>
          <w:tcPr>
            <w:tcW w:w="1134" w:type="dxa"/>
            <w:shd w:val="clear" w:color="auto" w:fill="D9E2F3"/>
            <w:vAlign w:val="center"/>
            <w:hideMark/>
          </w:tcPr>
          <w:p w:rsidR="00A96FE5" w:rsidRPr="00C845B5" w:rsidRDefault="00A96FE5" w:rsidP="00577E12">
            <w:pPr>
              <w:suppressAutoHyphens w:val="0"/>
              <w:spacing w:after="0"/>
              <w:jc w:val="right"/>
              <w:rPr>
                <w:b/>
                <w:bCs/>
                <w:color w:val="000000"/>
                <w:sz w:val="20"/>
                <w:szCs w:val="20"/>
                <w:lang w:val="el-GR" w:eastAsia="el-GR" w:bidi="he-IL"/>
              </w:rPr>
            </w:pPr>
            <w:r w:rsidRPr="00C845B5">
              <w:rPr>
                <w:b/>
                <w:bCs/>
                <w:color w:val="000000"/>
                <w:sz w:val="20"/>
                <w:szCs w:val="20"/>
                <w:lang w:val="el-GR" w:eastAsia="el-GR" w:bidi="he-IL"/>
              </w:rPr>
              <w:t>9,6313</w:t>
            </w:r>
          </w:p>
        </w:tc>
      </w:tr>
    </w:tbl>
    <w:p w:rsidR="00A96FE5" w:rsidRDefault="00A96FE5" w:rsidP="00A96FE5">
      <w:pPr>
        <w:pStyle w:val="Default"/>
      </w:pPr>
    </w:p>
    <w:tbl>
      <w:tblPr>
        <w:tblW w:w="9780" w:type="dxa"/>
        <w:jc w:val="center"/>
        <w:tblLook w:val="04A0" w:firstRow="1" w:lastRow="0" w:firstColumn="1" w:lastColumn="0" w:noHBand="0" w:noVBand="1"/>
      </w:tblPr>
      <w:tblGrid>
        <w:gridCol w:w="3189"/>
        <w:gridCol w:w="2453"/>
        <w:gridCol w:w="1942"/>
        <w:gridCol w:w="2196"/>
      </w:tblGrid>
      <w:tr w:rsidR="00A96FE5" w:rsidRPr="00C845B5" w:rsidTr="00577E12">
        <w:trPr>
          <w:trHeight w:val="300"/>
          <w:jc w:val="center"/>
        </w:trPr>
        <w:tc>
          <w:tcPr>
            <w:tcW w:w="9780" w:type="dxa"/>
            <w:gridSpan w:val="4"/>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Π.1 Ανάλυση Υφιστάμενης Κατάστασης</w:t>
            </w:r>
          </w:p>
        </w:tc>
      </w:tr>
      <w:tr w:rsidR="00A96FE5" w:rsidRPr="00C845B5" w:rsidTr="00577E12">
        <w:trPr>
          <w:trHeight w:val="555"/>
          <w:jc w:val="center"/>
        </w:trPr>
        <w:tc>
          <w:tcPr>
            <w:tcW w:w="3189" w:type="dxa"/>
            <w:tcBorders>
              <w:top w:val="nil"/>
              <w:left w:val="single" w:sz="4" w:space="0" w:color="auto"/>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Ειδική Εμπειρία – Ομάδα Έργου</w:t>
            </w:r>
          </w:p>
        </w:tc>
        <w:tc>
          <w:tcPr>
            <w:tcW w:w="2453"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Ποσότητα (Ανθρωπομήνες)</w:t>
            </w:r>
          </w:p>
        </w:tc>
        <w:tc>
          <w:tcPr>
            <w:tcW w:w="1942"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Τιμή Μονάδας (€)</w:t>
            </w:r>
          </w:p>
        </w:tc>
        <w:tc>
          <w:tcPr>
            <w:tcW w:w="2196"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Δαπάνη (€)</w:t>
            </w: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Υπεύθυνος Έργου</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2,0455</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Αναπληρωτής Υπεύθυνος Έργου</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2,7727</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Μέλη ομάδας έργου (</w:t>
            </w:r>
            <w:r>
              <w:rPr>
                <w:color w:val="000000"/>
                <w:szCs w:val="22"/>
                <w:lang w:val="el-GR" w:eastAsia="el-GR" w:bidi="he-IL"/>
              </w:rPr>
              <w:t>6</w:t>
            </w:r>
            <w:r w:rsidRPr="00C845B5">
              <w:rPr>
                <w:color w:val="000000"/>
                <w:szCs w:val="22"/>
                <w:lang w:val="el-GR" w:eastAsia="el-GR" w:bidi="he-IL"/>
              </w:rPr>
              <w:t>)</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11,8182</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9" w:type="dxa"/>
            <w:tcBorders>
              <w:top w:val="nil"/>
              <w:left w:val="nil"/>
              <w:bottom w:val="nil"/>
              <w:right w:val="nil"/>
            </w:tcBorders>
            <w:shd w:val="clear" w:color="auto" w:fill="auto"/>
            <w:noWrap/>
            <w:vAlign w:val="center"/>
            <w:hideMark/>
          </w:tcPr>
          <w:p w:rsidR="00A96FE5" w:rsidRDefault="00A96FE5" w:rsidP="00577E12">
            <w:pPr>
              <w:suppressAutoHyphens w:val="0"/>
              <w:spacing w:after="0"/>
              <w:jc w:val="left"/>
              <w:rPr>
                <w:color w:val="000000"/>
                <w:szCs w:val="22"/>
                <w:lang w:val="el-GR" w:eastAsia="el-GR" w:bidi="he-IL"/>
              </w:rPr>
            </w:pPr>
          </w:p>
          <w:p w:rsidR="00A96FE5" w:rsidRDefault="00A96FE5" w:rsidP="00577E12">
            <w:pPr>
              <w:suppressAutoHyphens w:val="0"/>
              <w:spacing w:after="0"/>
              <w:jc w:val="left"/>
              <w:rPr>
                <w:color w:val="000000"/>
                <w:szCs w:val="22"/>
                <w:lang w:val="el-GR" w:eastAsia="el-GR" w:bidi="he-IL"/>
              </w:rPr>
            </w:pPr>
          </w:p>
          <w:p w:rsidR="00A96FE5" w:rsidRDefault="00A96FE5" w:rsidP="00577E12">
            <w:pPr>
              <w:suppressAutoHyphens w:val="0"/>
              <w:spacing w:after="0"/>
              <w:jc w:val="left"/>
              <w:rPr>
                <w:color w:val="000000"/>
                <w:szCs w:val="22"/>
                <w:lang w:val="el-GR" w:eastAsia="el-GR" w:bidi="he-IL"/>
              </w:rPr>
            </w:pPr>
          </w:p>
          <w:p w:rsidR="00A96FE5" w:rsidRDefault="00A96FE5" w:rsidP="00577E12">
            <w:pPr>
              <w:suppressAutoHyphens w:val="0"/>
              <w:spacing w:after="0"/>
              <w:jc w:val="left"/>
              <w:rPr>
                <w:color w:val="000000"/>
                <w:szCs w:val="22"/>
                <w:lang w:val="el-GR" w:eastAsia="el-GR" w:bidi="he-IL"/>
              </w:rPr>
            </w:pPr>
          </w:p>
          <w:p w:rsidR="00A96FE5" w:rsidRPr="00C845B5" w:rsidRDefault="00A96FE5" w:rsidP="00577E12">
            <w:pPr>
              <w:suppressAutoHyphens w:val="0"/>
              <w:spacing w:after="0"/>
              <w:jc w:val="left"/>
              <w:rPr>
                <w:color w:val="000000"/>
                <w:szCs w:val="22"/>
                <w:lang w:val="el-GR" w:eastAsia="el-GR" w:bidi="he-IL"/>
              </w:rPr>
            </w:pPr>
          </w:p>
        </w:tc>
        <w:tc>
          <w:tcPr>
            <w:tcW w:w="2453" w:type="dxa"/>
            <w:tcBorders>
              <w:top w:val="nil"/>
              <w:left w:val="nil"/>
              <w:bottom w:val="nil"/>
              <w:right w:val="nil"/>
            </w:tcBorders>
            <w:shd w:val="clear" w:color="auto" w:fill="auto"/>
            <w:noWrap/>
            <w:vAlign w:val="center"/>
            <w:hideMark/>
          </w:tcPr>
          <w:p w:rsidR="00A96FE5" w:rsidRPr="00C845B5" w:rsidRDefault="00A96FE5" w:rsidP="00577E12">
            <w:pPr>
              <w:suppressAutoHyphens w:val="0"/>
              <w:spacing w:after="0"/>
              <w:jc w:val="left"/>
              <w:rPr>
                <w:sz w:val="20"/>
                <w:szCs w:val="20"/>
                <w:lang w:val="el-GR" w:eastAsia="el-GR" w:bidi="he-IL"/>
              </w:rPr>
            </w:pPr>
          </w:p>
        </w:tc>
        <w:tc>
          <w:tcPr>
            <w:tcW w:w="1942" w:type="dxa"/>
            <w:tcBorders>
              <w:top w:val="nil"/>
              <w:left w:val="nil"/>
              <w:bottom w:val="nil"/>
              <w:right w:val="nil"/>
            </w:tcBorders>
            <w:shd w:val="clear" w:color="auto" w:fill="auto"/>
            <w:noWrap/>
            <w:vAlign w:val="center"/>
            <w:hideMark/>
          </w:tcPr>
          <w:p w:rsidR="00A96FE5" w:rsidRPr="00C845B5" w:rsidRDefault="00A96FE5" w:rsidP="00577E12">
            <w:pPr>
              <w:suppressAutoHyphens w:val="0"/>
              <w:spacing w:after="0"/>
              <w:jc w:val="left"/>
              <w:rPr>
                <w:sz w:val="20"/>
                <w:szCs w:val="20"/>
                <w:lang w:val="el-GR" w:eastAsia="el-GR" w:bidi="he-IL"/>
              </w:rPr>
            </w:pPr>
          </w:p>
        </w:tc>
        <w:tc>
          <w:tcPr>
            <w:tcW w:w="2196" w:type="dxa"/>
            <w:tcBorders>
              <w:top w:val="nil"/>
              <w:left w:val="nil"/>
              <w:bottom w:val="nil"/>
              <w:right w:val="nil"/>
            </w:tcBorders>
            <w:shd w:val="clear" w:color="auto" w:fill="auto"/>
            <w:noWrap/>
            <w:vAlign w:val="center"/>
            <w:hideMark/>
          </w:tcPr>
          <w:p w:rsidR="00A96FE5" w:rsidRPr="00C845B5" w:rsidRDefault="00A96FE5" w:rsidP="00577E12">
            <w:pPr>
              <w:suppressAutoHyphens w:val="0"/>
              <w:spacing w:after="0"/>
              <w:jc w:val="left"/>
              <w:rPr>
                <w:sz w:val="20"/>
                <w:szCs w:val="20"/>
                <w:lang w:val="el-GR" w:eastAsia="el-GR" w:bidi="he-IL"/>
              </w:rPr>
            </w:pPr>
          </w:p>
        </w:tc>
      </w:tr>
      <w:tr w:rsidR="00A96FE5" w:rsidRPr="00C845B5" w:rsidTr="00577E12">
        <w:trPr>
          <w:trHeight w:val="615"/>
          <w:jc w:val="center"/>
        </w:trPr>
        <w:tc>
          <w:tcPr>
            <w:tcW w:w="9780"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Π.2 Πρόταση</w:t>
            </w:r>
          </w:p>
        </w:tc>
      </w:tr>
      <w:tr w:rsidR="00A96FE5" w:rsidRPr="00C845B5" w:rsidTr="00577E12">
        <w:trPr>
          <w:trHeight w:val="600"/>
          <w:jc w:val="center"/>
        </w:trPr>
        <w:tc>
          <w:tcPr>
            <w:tcW w:w="3189" w:type="dxa"/>
            <w:tcBorders>
              <w:top w:val="nil"/>
              <w:left w:val="single" w:sz="4" w:space="0" w:color="auto"/>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Ειδική Εμπειρία – Ομάδα Έργου</w:t>
            </w:r>
          </w:p>
        </w:tc>
        <w:tc>
          <w:tcPr>
            <w:tcW w:w="2453"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Ποσότητα (Ανθρωπομήνες)</w:t>
            </w:r>
          </w:p>
        </w:tc>
        <w:tc>
          <w:tcPr>
            <w:tcW w:w="1942"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Τιμή Μονάδας (€)</w:t>
            </w:r>
          </w:p>
        </w:tc>
        <w:tc>
          <w:tcPr>
            <w:tcW w:w="2196" w:type="dxa"/>
            <w:tcBorders>
              <w:top w:val="nil"/>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Δαπάνη (€)</w:t>
            </w: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Υπεύθυνος Έργου</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1,7727</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Αναπληρωτής Υπεύθυνος Έργου</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2,0909</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Μέλη ομάδας έργου (</w:t>
            </w:r>
            <w:r>
              <w:rPr>
                <w:color w:val="000000"/>
                <w:szCs w:val="22"/>
                <w:lang w:val="el-GR" w:eastAsia="el-GR" w:bidi="he-IL"/>
              </w:rPr>
              <w:t>6</w:t>
            </w:r>
            <w:r w:rsidRPr="00C845B5">
              <w:rPr>
                <w:color w:val="000000"/>
                <w:szCs w:val="22"/>
                <w:lang w:val="el-GR" w:eastAsia="el-GR" w:bidi="he-IL"/>
              </w:rPr>
              <w:t>)</w:t>
            </w:r>
          </w:p>
        </w:tc>
        <w:tc>
          <w:tcPr>
            <w:tcW w:w="2453" w:type="dxa"/>
            <w:tcBorders>
              <w:top w:val="nil"/>
              <w:left w:val="nil"/>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center"/>
              <w:rPr>
                <w:color w:val="000000"/>
                <w:szCs w:val="22"/>
                <w:lang w:val="el-GR" w:eastAsia="el-GR" w:bidi="he-IL"/>
              </w:rPr>
            </w:pPr>
            <w:r w:rsidRPr="00C845B5">
              <w:rPr>
                <w:color w:val="000000"/>
                <w:szCs w:val="22"/>
                <w:lang w:val="el-GR" w:eastAsia="el-GR" w:bidi="he-IL"/>
              </w:rPr>
              <w:t>9,6313</w:t>
            </w:r>
          </w:p>
        </w:tc>
        <w:tc>
          <w:tcPr>
            <w:tcW w:w="1942"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c>
          <w:tcPr>
            <w:tcW w:w="2196" w:type="dxa"/>
            <w:tcBorders>
              <w:top w:val="nil"/>
              <w:left w:val="nil"/>
              <w:bottom w:val="single" w:sz="4" w:space="0" w:color="auto"/>
              <w:right w:val="single" w:sz="4" w:space="0" w:color="auto"/>
            </w:tcBorders>
            <w:shd w:val="clear" w:color="auto" w:fill="auto"/>
            <w:vAlign w:val="center"/>
          </w:tcPr>
          <w:p w:rsidR="00A96FE5" w:rsidRPr="00C845B5" w:rsidRDefault="00A96FE5" w:rsidP="00577E12">
            <w:pPr>
              <w:suppressAutoHyphens w:val="0"/>
              <w:spacing w:after="0"/>
              <w:jc w:val="left"/>
              <w:rPr>
                <w:color w:val="000000"/>
                <w:szCs w:val="22"/>
                <w:lang w:val="el-GR" w:eastAsia="el-GR" w:bidi="he-IL"/>
              </w:rPr>
            </w:pPr>
          </w:p>
        </w:tc>
      </w:tr>
    </w:tbl>
    <w:p w:rsidR="00A96FE5" w:rsidRPr="00AA5487" w:rsidRDefault="00A96FE5" w:rsidP="00A96FE5">
      <w:pPr>
        <w:suppressAutoHyphens w:val="0"/>
        <w:autoSpaceDE w:val="0"/>
        <w:spacing w:before="57" w:after="57"/>
        <w:rPr>
          <w:rFonts w:eastAsia="SimSun"/>
          <w:szCs w:val="22"/>
          <w:lang w:val="el-GR"/>
        </w:rPr>
      </w:pPr>
    </w:p>
    <w:tbl>
      <w:tblPr>
        <w:tblW w:w="9772" w:type="dxa"/>
        <w:jc w:val="center"/>
        <w:tblLook w:val="04A0" w:firstRow="1" w:lastRow="0" w:firstColumn="1" w:lastColumn="0" w:noHBand="0" w:noVBand="1"/>
      </w:tblPr>
      <w:tblGrid>
        <w:gridCol w:w="3185"/>
        <w:gridCol w:w="2113"/>
        <w:gridCol w:w="1275"/>
        <w:gridCol w:w="1666"/>
        <w:gridCol w:w="1533"/>
      </w:tblGrid>
      <w:tr w:rsidR="00A96FE5" w:rsidRPr="00C845B5" w:rsidTr="00577E12">
        <w:trPr>
          <w:trHeight w:val="900"/>
          <w:jc w:val="center"/>
        </w:trPr>
        <w:tc>
          <w:tcPr>
            <w:tcW w:w="3185"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Ειδική Εμπειρία – Ομάδα Έργου</w:t>
            </w:r>
          </w:p>
        </w:tc>
        <w:tc>
          <w:tcPr>
            <w:tcW w:w="2113" w:type="dxa"/>
            <w:tcBorders>
              <w:top w:val="single" w:sz="4" w:space="0" w:color="auto"/>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Π.1 Ανάλυση Υφιστάμενης Κατάστασης</w:t>
            </w:r>
          </w:p>
        </w:tc>
        <w:tc>
          <w:tcPr>
            <w:tcW w:w="1275" w:type="dxa"/>
            <w:tcBorders>
              <w:top w:val="single" w:sz="4" w:space="0" w:color="auto"/>
              <w:left w:val="nil"/>
              <w:bottom w:val="single" w:sz="4" w:space="0" w:color="auto"/>
              <w:right w:val="single" w:sz="4" w:space="0" w:color="auto"/>
            </w:tcBorders>
            <w:shd w:val="clear" w:color="auto" w:fill="D0CECE"/>
            <w:noWrap/>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Π.2 Πρόταση</w:t>
            </w:r>
          </w:p>
        </w:tc>
        <w:tc>
          <w:tcPr>
            <w:tcW w:w="1666" w:type="dxa"/>
            <w:tcBorders>
              <w:top w:val="single" w:sz="4" w:space="0" w:color="auto"/>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ΣΥΝΟΛΟ ΧΩΡΙΣ Φ.Π.Α.</w:t>
            </w:r>
          </w:p>
        </w:tc>
        <w:tc>
          <w:tcPr>
            <w:tcW w:w="1533" w:type="dxa"/>
            <w:tcBorders>
              <w:top w:val="single" w:sz="4" w:space="0" w:color="auto"/>
              <w:left w:val="nil"/>
              <w:bottom w:val="single" w:sz="4" w:space="0" w:color="auto"/>
              <w:right w:val="single" w:sz="4" w:space="0" w:color="auto"/>
            </w:tcBorders>
            <w:shd w:val="clear" w:color="auto" w:fill="D0CECE"/>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ΣΥΝΟΛΟ ΜΕ Φ.Π.Α.</w:t>
            </w:r>
          </w:p>
        </w:tc>
      </w:tr>
      <w:tr w:rsidR="00A96FE5" w:rsidRPr="00C845B5" w:rsidTr="00577E12">
        <w:trPr>
          <w:trHeight w:val="300"/>
          <w:jc w:val="center"/>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Υπεύθυνος Έργου</w:t>
            </w:r>
          </w:p>
        </w:tc>
        <w:tc>
          <w:tcPr>
            <w:tcW w:w="211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center"/>
              <w:rPr>
                <w:color w:val="000000"/>
                <w:szCs w:val="22"/>
                <w:lang w:val="el-GR" w:eastAsia="el-GR" w:bidi="he-IL"/>
              </w:rPr>
            </w:pPr>
          </w:p>
        </w:tc>
        <w:tc>
          <w:tcPr>
            <w:tcW w:w="1275"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666"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53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Αναπληρωτής Υπεύθυνος Έργου</w:t>
            </w:r>
          </w:p>
        </w:tc>
        <w:tc>
          <w:tcPr>
            <w:tcW w:w="211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center"/>
              <w:rPr>
                <w:color w:val="000000"/>
                <w:szCs w:val="22"/>
                <w:lang w:val="el-GR" w:eastAsia="el-GR" w:bidi="he-IL"/>
              </w:rPr>
            </w:pPr>
          </w:p>
        </w:tc>
        <w:tc>
          <w:tcPr>
            <w:tcW w:w="1275"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666"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53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5" w:type="dxa"/>
            <w:tcBorders>
              <w:top w:val="nil"/>
              <w:left w:val="single" w:sz="4" w:space="0" w:color="auto"/>
              <w:bottom w:val="single" w:sz="4" w:space="0" w:color="auto"/>
              <w:right w:val="single" w:sz="4" w:space="0" w:color="auto"/>
            </w:tcBorders>
            <w:shd w:val="clear" w:color="auto" w:fill="auto"/>
            <w:vAlign w:val="center"/>
            <w:hideMark/>
          </w:tcPr>
          <w:p w:rsidR="00A96FE5" w:rsidRPr="00C845B5" w:rsidRDefault="00A96FE5" w:rsidP="00577E12">
            <w:pPr>
              <w:suppressAutoHyphens w:val="0"/>
              <w:spacing w:after="0"/>
              <w:jc w:val="left"/>
              <w:rPr>
                <w:color w:val="000000"/>
                <w:szCs w:val="22"/>
                <w:lang w:val="el-GR" w:eastAsia="el-GR" w:bidi="he-IL"/>
              </w:rPr>
            </w:pPr>
            <w:r w:rsidRPr="00C845B5">
              <w:rPr>
                <w:color w:val="000000"/>
                <w:szCs w:val="22"/>
                <w:lang w:val="el-GR" w:eastAsia="el-GR" w:bidi="he-IL"/>
              </w:rPr>
              <w:t>Μέλη ομάδας έργου (</w:t>
            </w:r>
            <w:r>
              <w:rPr>
                <w:color w:val="000000"/>
                <w:szCs w:val="22"/>
                <w:lang w:val="el-GR" w:eastAsia="el-GR" w:bidi="he-IL"/>
              </w:rPr>
              <w:t>6</w:t>
            </w:r>
            <w:r w:rsidRPr="00C845B5">
              <w:rPr>
                <w:color w:val="000000"/>
                <w:szCs w:val="22"/>
                <w:lang w:val="el-GR" w:eastAsia="el-GR" w:bidi="he-IL"/>
              </w:rPr>
              <w:t>)</w:t>
            </w:r>
          </w:p>
        </w:tc>
        <w:tc>
          <w:tcPr>
            <w:tcW w:w="211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center"/>
              <w:rPr>
                <w:color w:val="000000"/>
                <w:szCs w:val="22"/>
                <w:lang w:val="el-GR" w:eastAsia="el-GR" w:bidi="he-IL"/>
              </w:rPr>
            </w:pPr>
          </w:p>
        </w:tc>
        <w:tc>
          <w:tcPr>
            <w:tcW w:w="1275"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666"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c>
          <w:tcPr>
            <w:tcW w:w="1533" w:type="dxa"/>
            <w:tcBorders>
              <w:top w:val="nil"/>
              <w:left w:val="nil"/>
              <w:bottom w:val="single" w:sz="4" w:space="0" w:color="auto"/>
              <w:right w:val="single" w:sz="4" w:space="0" w:color="auto"/>
            </w:tcBorders>
            <w:shd w:val="clear" w:color="auto" w:fill="auto"/>
            <w:noWrap/>
            <w:vAlign w:val="center"/>
          </w:tcPr>
          <w:p w:rsidR="00A96FE5" w:rsidRPr="00C845B5" w:rsidRDefault="00A96FE5" w:rsidP="00577E12">
            <w:pPr>
              <w:suppressAutoHyphens w:val="0"/>
              <w:spacing w:after="0"/>
              <w:jc w:val="left"/>
              <w:rPr>
                <w:color w:val="000000"/>
                <w:szCs w:val="22"/>
                <w:lang w:val="el-GR" w:eastAsia="el-GR" w:bidi="he-IL"/>
              </w:rPr>
            </w:pPr>
          </w:p>
        </w:tc>
      </w:tr>
      <w:tr w:rsidR="00A96FE5" w:rsidRPr="00C845B5" w:rsidTr="00577E12">
        <w:trPr>
          <w:trHeight w:val="300"/>
          <w:jc w:val="center"/>
        </w:trPr>
        <w:tc>
          <w:tcPr>
            <w:tcW w:w="3185" w:type="dxa"/>
            <w:tcBorders>
              <w:top w:val="nil"/>
              <w:left w:val="single" w:sz="4" w:space="0" w:color="auto"/>
              <w:bottom w:val="single" w:sz="4" w:space="0" w:color="auto"/>
              <w:right w:val="single" w:sz="4" w:space="0" w:color="auto"/>
            </w:tcBorders>
            <w:shd w:val="clear" w:color="auto" w:fill="D9E2F3"/>
            <w:vAlign w:val="center"/>
            <w:hideMark/>
          </w:tcPr>
          <w:p w:rsidR="00A96FE5" w:rsidRPr="00C845B5" w:rsidRDefault="00A96FE5" w:rsidP="00577E12">
            <w:pPr>
              <w:suppressAutoHyphens w:val="0"/>
              <w:spacing w:after="0"/>
              <w:jc w:val="left"/>
              <w:rPr>
                <w:b/>
                <w:bCs/>
                <w:color w:val="000000"/>
                <w:szCs w:val="22"/>
                <w:lang w:val="el-GR" w:eastAsia="el-GR" w:bidi="he-IL"/>
              </w:rPr>
            </w:pPr>
            <w:r w:rsidRPr="00C845B5">
              <w:rPr>
                <w:b/>
                <w:bCs/>
                <w:color w:val="000000"/>
                <w:szCs w:val="22"/>
                <w:lang w:val="el-GR" w:eastAsia="el-GR" w:bidi="he-IL"/>
              </w:rPr>
              <w:t>Σύνολο</w:t>
            </w:r>
          </w:p>
        </w:tc>
        <w:tc>
          <w:tcPr>
            <w:tcW w:w="2113" w:type="dxa"/>
            <w:tcBorders>
              <w:top w:val="nil"/>
              <w:left w:val="nil"/>
              <w:bottom w:val="single" w:sz="4" w:space="0" w:color="auto"/>
              <w:right w:val="single" w:sz="4" w:space="0" w:color="auto"/>
            </w:tcBorders>
            <w:shd w:val="clear" w:color="auto" w:fill="D9E2F3"/>
            <w:noWrap/>
            <w:vAlign w:val="center"/>
          </w:tcPr>
          <w:p w:rsidR="00A96FE5" w:rsidRPr="00C845B5" w:rsidRDefault="00A96FE5" w:rsidP="00577E12">
            <w:pPr>
              <w:suppressAutoHyphens w:val="0"/>
              <w:spacing w:after="0"/>
              <w:jc w:val="left"/>
              <w:rPr>
                <w:b/>
                <w:bCs/>
                <w:color w:val="000000"/>
                <w:szCs w:val="22"/>
                <w:lang w:val="el-GR" w:eastAsia="el-GR" w:bidi="he-IL"/>
              </w:rPr>
            </w:pPr>
          </w:p>
        </w:tc>
        <w:tc>
          <w:tcPr>
            <w:tcW w:w="1275" w:type="dxa"/>
            <w:tcBorders>
              <w:top w:val="nil"/>
              <w:left w:val="nil"/>
              <w:bottom w:val="single" w:sz="4" w:space="0" w:color="auto"/>
              <w:right w:val="single" w:sz="4" w:space="0" w:color="auto"/>
            </w:tcBorders>
            <w:shd w:val="clear" w:color="auto" w:fill="D9E2F3"/>
            <w:noWrap/>
            <w:vAlign w:val="center"/>
          </w:tcPr>
          <w:p w:rsidR="00A96FE5" w:rsidRPr="00C845B5" w:rsidRDefault="00A96FE5" w:rsidP="00577E12">
            <w:pPr>
              <w:suppressAutoHyphens w:val="0"/>
              <w:spacing w:after="0"/>
              <w:jc w:val="left"/>
              <w:rPr>
                <w:b/>
                <w:bCs/>
                <w:color w:val="000000"/>
                <w:szCs w:val="22"/>
                <w:lang w:val="el-GR" w:eastAsia="el-GR" w:bidi="he-IL"/>
              </w:rPr>
            </w:pPr>
          </w:p>
        </w:tc>
        <w:tc>
          <w:tcPr>
            <w:tcW w:w="1666" w:type="dxa"/>
            <w:tcBorders>
              <w:top w:val="nil"/>
              <w:left w:val="nil"/>
              <w:bottom w:val="single" w:sz="4" w:space="0" w:color="auto"/>
              <w:right w:val="single" w:sz="4" w:space="0" w:color="auto"/>
            </w:tcBorders>
            <w:shd w:val="clear" w:color="auto" w:fill="D9E2F3"/>
            <w:noWrap/>
            <w:vAlign w:val="center"/>
          </w:tcPr>
          <w:p w:rsidR="00A96FE5" w:rsidRPr="00C845B5" w:rsidRDefault="00A96FE5" w:rsidP="00577E12">
            <w:pPr>
              <w:suppressAutoHyphens w:val="0"/>
              <w:spacing w:after="0"/>
              <w:jc w:val="left"/>
              <w:rPr>
                <w:b/>
                <w:bCs/>
                <w:color w:val="000000"/>
                <w:szCs w:val="22"/>
                <w:lang w:val="el-GR" w:eastAsia="el-GR" w:bidi="he-IL"/>
              </w:rPr>
            </w:pPr>
          </w:p>
        </w:tc>
        <w:tc>
          <w:tcPr>
            <w:tcW w:w="1533" w:type="dxa"/>
            <w:tcBorders>
              <w:top w:val="nil"/>
              <w:left w:val="nil"/>
              <w:bottom w:val="single" w:sz="4" w:space="0" w:color="auto"/>
              <w:right w:val="single" w:sz="4" w:space="0" w:color="auto"/>
            </w:tcBorders>
            <w:shd w:val="clear" w:color="auto" w:fill="D9E2F3"/>
            <w:noWrap/>
            <w:vAlign w:val="center"/>
          </w:tcPr>
          <w:p w:rsidR="00A96FE5" w:rsidRPr="00C845B5" w:rsidRDefault="00A96FE5" w:rsidP="00577E12">
            <w:pPr>
              <w:suppressAutoHyphens w:val="0"/>
              <w:spacing w:after="0"/>
              <w:jc w:val="left"/>
              <w:rPr>
                <w:b/>
                <w:bCs/>
                <w:color w:val="000000"/>
                <w:szCs w:val="22"/>
                <w:lang w:val="el-GR" w:eastAsia="el-GR" w:bidi="he-IL"/>
              </w:rPr>
            </w:pPr>
          </w:p>
        </w:tc>
      </w:tr>
    </w:tbl>
    <w:p w:rsidR="00A96FE5" w:rsidRDefault="00A96FE5" w:rsidP="00A96FE5">
      <w:pPr>
        <w:pStyle w:val="Default"/>
      </w:pPr>
      <w:r>
        <w:br/>
      </w:r>
    </w:p>
    <w:p w:rsidR="00A96FE5" w:rsidRPr="00CB4173" w:rsidRDefault="00A96FE5" w:rsidP="00A96FE5">
      <w:pPr>
        <w:pStyle w:val="Default"/>
        <w:jc w:val="center"/>
        <w:rPr>
          <w:rFonts w:asciiTheme="minorHAnsi" w:hAnsiTheme="minorHAnsi" w:cstheme="minorHAnsi"/>
          <w:b/>
          <w:sz w:val="22"/>
          <w:szCs w:val="22"/>
        </w:rPr>
      </w:pPr>
      <w:r w:rsidRPr="00CB4173">
        <w:rPr>
          <w:rFonts w:asciiTheme="minorHAnsi" w:hAnsiTheme="minorHAnsi" w:cstheme="minorHAnsi"/>
          <w:b/>
          <w:sz w:val="22"/>
          <w:szCs w:val="22"/>
        </w:rPr>
        <w:t>Ημερομηνία ……/……/2023</w:t>
      </w:r>
    </w:p>
    <w:p w:rsidR="00A96FE5" w:rsidRPr="00CB4173" w:rsidRDefault="00A96FE5" w:rsidP="00A96FE5">
      <w:pPr>
        <w:pStyle w:val="Default"/>
        <w:jc w:val="center"/>
        <w:rPr>
          <w:rFonts w:asciiTheme="minorHAnsi" w:hAnsiTheme="minorHAnsi" w:cstheme="minorHAnsi"/>
          <w:b/>
          <w:sz w:val="22"/>
          <w:szCs w:val="22"/>
        </w:rPr>
      </w:pPr>
    </w:p>
    <w:p w:rsidR="00A96FE5" w:rsidRPr="00CB4173" w:rsidRDefault="00A96FE5" w:rsidP="00A96FE5">
      <w:pPr>
        <w:pStyle w:val="Default"/>
        <w:jc w:val="center"/>
        <w:rPr>
          <w:rFonts w:asciiTheme="minorHAnsi" w:hAnsiTheme="minorHAnsi" w:cstheme="minorHAnsi"/>
          <w:b/>
          <w:sz w:val="22"/>
          <w:szCs w:val="22"/>
        </w:rPr>
      </w:pPr>
    </w:p>
    <w:p w:rsidR="00A96FE5" w:rsidRPr="00CB4173" w:rsidRDefault="00A96FE5" w:rsidP="00A96FE5">
      <w:pPr>
        <w:pStyle w:val="Default"/>
        <w:jc w:val="center"/>
        <w:rPr>
          <w:rFonts w:asciiTheme="minorHAnsi" w:hAnsiTheme="minorHAnsi" w:cstheme="minorHAnsi"/>
          <w:b/>
          <w:sz w:val="22"/>
          <w:szCs w:val="22"/>
        </w:rPr>
      </w:pPr>
      <w:r w:rsidRPr="00CB4173">
        <w:rPr>
          <w:rFonts w:asciiTheme="minorHAnsi" w:hAnsiTheme="minorHAnsi" w:cstheme="minorHAnsi"/>
          <w:b/>
          <w:sz w:val="22"/>
          <w:szCs w:val="22"/>
        </w:rPr>
        <w:t>Ο Προσφέρων</w:t>
      </w:r>
    </w:p>
    <w:p w:rsidR="00F02EE5" w:rsidRDefault="00F02EE5" w:rsidP="00A96FE5">
      <w:bookmarkStart w:id="0" w:name="_GoBack"/>
      <w:bookmarkEnd w:id="0"/>
    </w:p>
    <w:sectPr w:rsidR="00F02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E5"/>
    <w:rsid w:val="00A96FE5"/>
    <w:rsid w:val="00F02E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0062-E160-4F9B-8984-21C92887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FE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96F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A96FE5"/>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96FE5"/>
    <w:rPr>
      <w:rFonts w:ascii="Arial" w:eastAsia="Times New Roman" w:hAnsi="Arial" w:cs="Arial"/>
      <w:b/>
      <w:color w:val="002060"/>
      <w:sz w:val="24"/>
      <w:lang w:val="en-GB" w:eastAsia="ar-SA"/>
    </w:rPr>
  </w:style>
  <w:style w:type="paragraph" w:customStyle="1" w:styleId="Default">
    <w:name w:val="Default"/>
    <w:qFormat/>
    <w:rsid w:val="00A96FE5"/>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1Char">
    <w:name w:val="Επικεφαλίδα 1 Char"/>
    <w:basedOn w:val="a0"/>
    <w:link w:val="1"/>
    <w:uiPriority w:val="9"/>
    <w:rsid w:val="00A96FE5"/>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4825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1</cp:revision>
  <dcterms:created xsi:type="dcterms:W3CDTF">2023-06-28T06:55:00Z</dcterms:created>
  <dcterms:modified xsi:type="dcterms:W3CDTF">2023-06-28T06:55:00Z</dcterms:modified>
</cp:coreProperties>
</file>