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4E" w:rsidRPr="00CA100B" w:rsidRDefault="00C70C4E" w:rsidP="00C70C4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i/>
          <w:color w:val="538135"/>
          <w:sz w:val="22"/>
          <w:lang w:val="el-GR"/>
        </w:rPr>
      </w:pPr>
      <w:bookmarkStart w:id="0" w:name="_Toc176421255"/>
      <w:r w:rsidRPr="00CA100B">
        <w:rPr>
          <w:rFonts w:asciiTheme="minorHAnsi" w:hAnsiTheme="minorHAnsi" w:cstheme="minorHAnsi"/>
          <w:sz w:val="22"/>
          <w:lang w:val="el-GR"/>
        </w:rPr>
        <w:t>ΠΑΡΑΡΤΗΜΑ I</w:t>
      </w:r>
      <w:r w:rsidRPr="00CA100B">
        <w:rPr>
          <w:rFonts w:asciiTheme="minorHAnsi" w:hAnsiTheme="minorHAnsi" w:cstheme="minorHAnsi"/>
          <w:sz w:val="22"/>
          <w:lang w:val="en-US"/>
        </w:rPr>
        <w:t>V</w:t>
      </w:r>
      <w:r w:rsidRPr="00CA100B">
        <w:rPr>
          <w:rFonts w:asciiTheme="minorHAnsi" w:hAnsiTheme="minorHAnsi" w:cstheme="minorHAnsi"/>
          <w:sz w:val="22"/>
          <w:lang w:val="el-GR"/>
        </w:rPr>
        <w:t xml:space="preserve"> – Υπ</w:t>
      </w:r>
      <w:r>
        <w:rPr>
          <w:rFonts w:asciiTheme="minorHAnsi" w:hAnsiTheme="minorHAnsi" w:cstheme="minorHAnsi"/>
          <w:sz w:val="22"/>
          <w:lang w:val="el-GR"/>
        </w:rPr>
        <w:t>όδειγμα οικονομικής προσφοράς</w:t>
      </w:r>
      <w:bookmarkEnd w:id="0"/>
      <w:r w:rsidRPr="00CA100B">
        <w:rPr>
          <w:rFonts w:asciiTheme="minorHAnsi" w:hAnsiTheme="minorHAnsi" w:cstheme="minorHAnsi"/>
          <w:sz w:val="22"/>
          <w:lang w:val="el-GR"/>
        </w:rPr>
        <w:t xml:space="preserve"> </w:t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Στοιχεία προσφέροντος</w:t>
      </w:r>
    </w:p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692772" w:rsidRPr="00983B50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  <w:r w:rsidRPr="00983B50">
        <w:rPr>
          <w:rFonts w:asciiTheme="minorHAnsi" w:hAnsiTheme="minorHAnsi" w:cstheme="minorHAnsi"/>
          <w:b/>
          <w:bCs/>
          <w:lang w:val="el-GR"/>
        </w:rPr>
        <w:t>Α. Προμήθεια και αντικατάσταση εγκαταστάσεων κλιματισμού αερισμού</w:t>
      </w:r>
      <w:r>
        <w:rPr>
          <w:rFonts w:asciiTheme="minorHAnsi" w:hAnsiTheme="minorHAnsi" w:cstheme="minorHAnsi"/>
          <w:b/>
          <w:bCs/>
          <w:lang w:val="el-GR"/>
        </w:rPr>
        <w:t xml:space="preserve"> για τον κινηματογράφο ΟΛΥΜΠΙΑ</w:t>
      </w:r>
    </w:p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259"/>
        <w:gridCol w:w="1774"/>
        <w:gridCol w:w="1054"/>
        <w:gridCol w:w="988"/>
        <w:gridCol w:w="919"/>
        <w:gridCol w:w="728"/>
        <w:gridCol w:w="944"/>
      </w:tblGrid>
      <w:tr w:rsidR="00692772" w:rsidRPr="00DF4ADD" w:rsidTr="00692772">
        <w:trPr>
          <w:jc w:val="center"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A/A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Είδος Εργασιών</w:t>
            </w:r>
          </w:p>
        </w:tc>
        <w:tc>
          <w:tcPr>
            <w:tcW w:w="1774" w:type="dxa"/>
            <w:shd w:val="clear" w:color="auto" w:fill="B4C6E7" w:themeFill="accent1" w:themeFillTint="66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ind w:right="63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Mετρ</w:t>
            </w:r>
            <w:proofErr w:type="spellEnd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B4C6E7" w:themeFill="accent1" w:themeFillTint="66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692772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Τιμή Μονάδας (Ευρώ)</w:t>
            </w:r>
          </w:p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ΧΩΡΙΣ Φ.Π.Α.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ΣΥΝΟΛΟ ΧΩΡΙΣ Φ.Π.Α.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Φ.Π.Α.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692772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ΣΥΜΟΛΟ ΜΕ Φ.Π.Α</w:t>
            </w: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1. ΜΗΧΑΝΗΜΑΤΑ - ΕΞΑΡΤΗΜΑΤΑ</w:t>
            </w:r>
          </w:p>
        </w:tc>
        <w:tc>
          <w:tcPr>
            <w:tcW w:w="1774" w:type="dxa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54" w:type="dxa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Αντλία θερμότητας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αέρα- νερού,  ψυκτικής / θερμικής ισχύος  142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kW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/ 154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kW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σύμφωνα με την τεχνική περιγραφή και τις προδιαγραφές.  Προμήθεια, μεταφορά, εγκατάσταση,  σύνδεση, δοκιμές, ρύθμιση και θέση σε λειτουργία.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Kεντρική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Κλιματιστική μονάδα </w:t>
            </w: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ΚΚΜ1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παροχής αέρα προσαγωγής 12.000 m³/h, 320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και επιστροφής 10.000 m³/h,150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με στοιχεία ηχομόνωσης, σύμφωνα με την τεχνική περιγραφή και τις προδιαγραφές - Προμήθεια, μεταφορά,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ρύθμιση και θέση σε λειτουργία.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Kεντρική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Κλιματιστική μονάδα </w:t>
            </w: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ΚΚΜ2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παροχής αέρα προσαγωγής 5.000 m³/h, 220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και επιστροφής 4.400 m³/h  200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σύμφωνα με την τεχνική περιγραφή και τις προδιαγραφές - Προμήθεια, μεταφορά,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ρύθμιση και θέση σε λειτουργία.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εγκατάσταση </w:t>
            </w: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συστήματος αυτοματισμού και ελέγχου κάθε ΚΚΜ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με όλα τα απαραίτητα αισθητήρια θερμοκρασίας νερού, περιβάλλοντος,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τρίοδες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βάνες με τους κινητήρες, έτοιμο για σύνδεση με το BMS, πλήρως εγκατεστημένο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Χυτοσιδηρός</w:t>
            </w:r>
            <w:proofErr w:type="spellEnd"/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 λέβητας συμπύκνωσης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και καυστήρας φυσικού αερίου, με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εναλλάκτη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σύμφωνα με την τεχνική περιγραφή και τις προδιαγραφές - ισχύος 160.000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Kcal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/h. Προμήθεια, μεταφορά,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ρύθμιση και θέση σε λειτουργία.    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εγκατάσταση συστήματος αυτοματισμού και ελέγχου λεβητοστασίου με  ενσωματωμένο στο λέβητα ή ξεχωριστό πίνακα ελέγχου κατάλληλου για σύνδεση στο BMS, καθώς και  όλα τα απαραίτητα αισθητήρια θερμοκρασίας νερού, περιβάλλοντος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. σύμφωνα με την τεχνική περιγραφή, τα σχέδια και τις προδιαγραφές . Προμήθεια, μεταφορά,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ρύθμιση και θέση σε λειτουργία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Κυκλοφορητής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νερού  ενδεικτικού τύπου WILO STRATOS PICO 30/0,5-6 ,  με ενσωματωμένο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απόδοσης,σε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αντικατάσταση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RS 30/6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Κυκλοφορητής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νερού  ενδεικτικού τύπου WILO STRATOS PICO 30/0,5-8 ,  με ενσωματωμένο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απόδοσης,σε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αντικατάσταση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RS 30/7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Αξεσουάρ αναβάθμισης - διασύνδεσης των 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κυκλοφορητων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 με το BMS - Ενδεικτικός τύπος WILO :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Connect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BMS : 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Διεπαφές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SSM/SBM,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 xml:space="preserve">Αναλογική είσοδος για σήμα 0-10 V,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OFF/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. MIN/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MAX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Κυκλοφορητής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νερού  ενδεικτικού τύπου WILO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Stratos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MAXO 40/0,5-8 PN6/10  ,  με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απόδοσης EEI&lt;=0,17,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standard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διαθέσιμες επαφές για σύνδεση με το BMS και δυνατότητα προσθήκης CIF-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για επικοινωνία με το BMS μέσω πρωτοκόλλου, σε αντικατάσταση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TOP-S 40/7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Κυκλοφορητής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νερού  ενδεικτικού τύπου WILO -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Stratos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MAXO 65/0,5-12  PN6/10 ,  με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απόδοσης EEI&lt;=0,17,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standard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διαθέσιμες επαφές για σύνδεση με το BMS και δυνατότητα προσθήκης CIF-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για επικοινωνία με το BMS μέσω πρωτοκόλλου, σε  αντικατάσταση του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TOP-S 65/10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Κυκλοφορητής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νερού  ενδεικτικού τύπου WILO -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Stratos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MAXO 65/0,5-16 PN6/10 ,  με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απόδοσης EEI&lt;=0,17,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standard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διαθέσιμες επαφές για σύνδεση με το BMS και δυνατότητα προσθήκης CIF-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για επικοινωνία με το BMS μέσω πρωτοκόλλου, σε  αντικατάσταση του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TOP-S 65/13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 , τοποθέτηση σωληνώσεων για σύνδεση αντλίας θερμότητας και λέβητα με τα δίκτυα ζεστού και ψυχρού νερού, από μαύρους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σιδηροσωλήνες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με ή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ανευ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ραφής κατάλληλα βαμμένους για αποφυγή οξειδώσεων, νέοι συλλέκτες προσαγωγής και επιστροφής στο λεβητοστάσιο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Μόνωση σωληνώσεων με ARMAFLEX και των αεραγωγών και λοιπών μηχανημάτων, σύμφωνα με την τεχνική περιγραφή και τις προδιαγραφές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Προστασία μονώσεων των σωληνώσεων και μόνωση των αεραγωγών, στους εξωτερικούς χώρους με ανοξείδωτα φύλλα λαμαρίνας.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μεταφορά, εγκατάσταση - σύνδεση </w:t>
            </w: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εξαρτημάτων δικτύου σωληνώσεων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θερμού -ψυχρού νερού : χειροκίνητες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βάννες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σφαιρικές ορειχάλκινες και  τύπου πεταλούδας,  με μοχλό χειρισμού και τους μαστούς αλλαγής υλικού,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εξαεριστικά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βαλβίδες αντεπιστροφής, φίλτρα νερού, αυτόματος πλήρωσης,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ηλεκτροβάννες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τρίοδες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ηλεκτροκίνητες βαλβίδες προοδευτικής λειτουργίας, διαστολικά και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αντικραδασμικά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σωληνώσεων, στηρίγματα,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λυόμενοι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σύνδεσμοι (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ρακόρ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- φλάντζες ), μανόμετρα, θερμόμετρα 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όπως στα σχέδια, τις τεχνικές περιγραφές και τις προδιαγραφές.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Κλειστό δοχείο διαστολής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με μεμβράνη χωρητικότητας 200lt, προμήθεια, τοποθέτηση και σύνδεση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Δοχείο αδράνειας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νερού ψύξης χωρητικότητας 1000lt, προμήθεια, τοποθέτηση και σύνδεση.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Σωληνώσεις και εξαρτήματα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για σύνδεση του καυστήρα του λέβητα με την </w:t>
            </w: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παροχή φυσικού αερίου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προμήθεια, τοποθέτηση και σύνδεση.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2. ΤΕΧΝΙΚΕΣ ΕΡΓΑΣΙΕΣ/ΥΠΗΡΕΣΙΕΣ</w:t>
            </w:r>
          </w:p>
        </w:tc>
        <w:tc>
          <w:tcPr>
            <w:tcW w:w="1774" w:type="dxa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54" w:type="dxa"/>
            <w:shd w:val="clear" w:color="auto" w:fill="D9E2F3" w:themeFill="accent1" w:themeFillTint="33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Αποξήλωση υφιστάμενων συσκευών και εξοπλισμού της υφιστάμενης εγκατάστασης κλιματισμού στον 2ο όροφο που δεν χρησιμοποιείται στη νέα λύση ή βρίσκεται εκτός λειτουργίας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Εκκίνηση και ρύθμιση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Kεντρικών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Kλιματιστικών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Mονάδων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και Αντλίας Θερμότητας.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Εργασίες αποξήλωσης μηχανημάτων  λεβητοστασίου - Διαμόρφωση  - αποκατάσταση χώρου λεβητοστασίου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Εκκίνηση, ρύθμιση,  δοκιμές λέβητα,  έλεγχος δικτύου και έκδοση φύλλου ελέγχου σύμφωνα με την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ισχύουσα νομοθεσία, από αδειούχο εγκαταστάτη υδραυλικό.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Διαμόρφωση χώρου ελέγχου κλιματισμού με παρελκόμενα (Η/Υ, οθόνη, ποντίκι, εκτυπωτής,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scanner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λογισμικό, έπιπλα γραφείου, κλιματιστική μονάδα τύπου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split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Ρυθμίσεις συνολικής καλής λειτουργίας εγκατάστασης κλιματισμού - θέρμανσης και αυτοματισμών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Εκπαίδευση προσωπικού για την λειτουργία και τον έλεγχο του συστήματος καθώς και παρακολούθηση της καλής λειτουργίας της εγκατάστασης για ένα έτος μετά την παράδοση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Εκπόνηση μελέτης για σύνδεση με την παροχή φυσικού αερίου, αποστολή στην ΔΕΔΑ για έγκριση, αυτοψία και λοιπές εγκρίσεις για την έναρξη τροφοδοσίας του λέβητα με φυσικό αέριο.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3. ΚΕΝΤΡΙΚΟ ΣΥΣΤΗΜΑ ΕΛΕΓΧΟΥ (BMS)</w:t>
            </w:r>
          </w:p>
        </w:tc>
        <w:tc>
          <w:tcPr>
            <w:tcW w:w="1774" w:type="dxa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54" w:type="dxa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Τρίοδη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ηλεκτροκίνητη βάνα 2 θέσεων DN100 με κινητήρα πλήρης. Προμήθεια, δοκιμές, ρύθμιση &amp; θέση σε λειτουργία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Τρίοδη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ηλεκτροκίνητη βάνα αναλογική DN25 (δικτύου) με κινητήρα πλήρης. Προμήθεια, δοκιμές, ρύθμιση &amp; θέση σε λειτουργία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Τρίοδη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ηλεκτροκίνητη βάνα αναλογική DN40 (δικτύου) με κινητήρα πλήρης. Προμήθεια, δοκιμές, ρύθμιση &amp; θέση σε λειτουργία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Αισθητήριο θερμοκρασίας εξωτερικού χώρου, με θήκη προστασίας, ρύθμιση &amp; θέση σε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λειτουργεια</w:t>
            </w:r>
            <w:proofErr w:type="spellEnd"/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ΑΚΕ 01- Ερμάριο ηλεκτροστατικής βαφής που περιλαμβάνει έναν σταθμό ελέγχου τεχνολογίας DDC χωρητικότητας 100 σημείων ελέγχου με 2 θύρες που υποστηρίζουν τα πρωτόκολλα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Modbus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RTU,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BACnet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MSTP. Στην πρόσοψη του πίνακα θα υπάρχει οθόνη αφής 7’’ για τον έλεγχο και την επιτήρηση της εγκατάστασης. Μέσω ενός περιηγητή δικτύου (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Chrome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Mozilla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Edge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) θα δίνεται η δυνατότητα για τον απομακρυσμένο έλεγχο της εγκατάστασης.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0544DB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772" w:rsidRPr="0086629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86629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Δημιουργία σχεδίων συνδέσεων, Προγραμματισμός σταθμών ελέγχου και οθονών αφής,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Προγραμματισμός σταθμού διαχείρισης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Δοκιμή σημάτων ελέγχου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Δοκιμή λειτουργίας ελεγχόμενων συστημάτων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Παραμετροποίηση και θέση σε λειτουργία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Εκπαίδευση χειριστών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Δημιουργία φακέλου τελικών σχεδίων, εγχειρίδιου λειτουργίας, τεχνικών εγχειριδίων υλικών.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Κατ’  αποκοπή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 Η/Υ με οθόνη και απαραίτητα περιφερειακά ή οθόνης αφής, συμπεριλαμβανομένου του λογισμικού της εγκατάστασης με τις ανάλογες άδειες χρήσης. </w:t>
            </w: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Προμηθεια,εγκατάσταση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δοκιμές, ρύθμιση &amp; θέση σε λειτουργία.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3468F3" w:rsidTr="00692772">
        <w:trPr>
          <w:trHeight w:val="1174"/>
          <w:jc w:val="center"/>
        </w:trPr>
        <w:tc>
          <w:tcPr>
            <w:tcW w:w="8611" w:type="dxa"/>
            <w:gridSpan w:val="5"/>
            <w:shd w:val="clear" w:color="auto" w:fill="D9E2F3" w:themeFill="accent1" w:themeFillTint="33"/>
            <w:vAlign w:val="center"/>
          </w:tcPr>
          <w:p w:rsidR="00692772" w:rsidRPr="000008EA" w:rsidRDefault="00692772" w:rsidP="00DF4ADD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</w:pPr>
            <w:r w:rsidRPr="000008EA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vAlign w:val="center"/>
          </w:tcPr>
          <w:p w:rsidR="00692772" w:rsidRPr="003468F3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</w:tbl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</w:p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br w:type="page"/>
      </w:r>
    </w:p>
    <w:p w:rsidR="00692772" w:rsidRPr="00983B50" w:rsidRDefault="00692772" w:rsidP="00692772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lastRenderedPageBreak/>
        <w:t>Β</w:t>
      </w:r>
      <w:r w:rsidRPr="00983B50">
        <w:rPr>
          <w:rFonts w:asciiTheme="minorHAnsi" w:hAnsiTheme="minorHAnsi" w:cstheme="minorHAnsi"/>
          <w:b/>
          <w:bCs/>
          <w:lang w:val="el-GR"/>
        </w:rPr>
        <w:t>. Προμήθεια κα</w:t>
      </w:r>
      <w:bookmarkStart w:id="1" w:name="_GoBack"/>
      <w:bookmarkEnd w:id="1"/>
      <w:r w:rsidRPr="00983B50">
        <w:rPr>
          <w:rFonts w:asciiTheme="minorHAnsi" w:hAnsiTheme="minorHAnsi" w:cstheme="minorHAnsi"/>
          <w:b/>
          <w:bCs/>
          <w:lang w:val="el-GR"/>
        </w:rPr>
        <w:t>ι αντικατάσταση εγκαταστάσεων κλιματισμού αερισμού</w:t>
      </w:r>
      <w:r>
        <w:rPr>
          <w:rFonts w:asciiTheme="minorHAnsi" w:hAnsiTheme="minorHAnsi" w:cstheme="minorHAnsi"/>
          <w:b/>
          <w:bCs/>
          <w:lang w:val="el-GR"/>
        </w:rPr>
        <w:t xml:space="preserve"> για το Δημοτικό Ωδείο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853"/>
        <w:gridCol w:w="1133"/>
        <w:gridCol w:w="1134"/>
        <w:gridCol w:w="992"/>
        <w:gridCol w:w="1405"/>
        <w:gridCol w:w="728"/>
        <w:gridCol w:w="987"/>
      </w:tblGrid>
      <w:tr w:rsidR="00692772" w:rsidRPr="00DF4ADD" w:rsidTr="00692772">
        <w:trPr>
          <w:trHeight w:val="659"/>
          <w:jc w:val="center"/>
        </w:trPr>
        <w:tc>
          <w:tcPr>
            <w:tcW w:w="536" w:type="dxa"/>
            <w:shd w:val="clear" w:color="auto" w:fill="B4C6E7" w:themeFill="accent1" w:themeFillTint="66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A/A</w:t>
            </w:r>
          </w:p>
        </w:tc>
        <w:tc>
          <w:tcPr>
            <w:tcW w:w="3853" w:type="dxa"/>
            <w:shd w:val="clear" w:color="auto" w:fill="B4C6E7" w:themeFill="accent1" w:themeFillTint="66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Είδος Εργασιών</w:t>
            </w:r>
          </w:p>
        </w:tc>
        <w:tc>
          <w:tcPr>
            <w:tcW w:w="1133" w:type="dxa"/>
            <w:shd w:val="clear" w:color="auto" w:fill="B4C6E7" w:themeFill="accent1" w:themeFillTint="66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Mετρ</w:t>
            </w:r>
            <w:proofErr w:type="spellEnd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  <w:hideMark/>
          </w:tcPr>
          <w:p w:rsidR="00692772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3468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Τιμή Μονάδας (Ευρώ)</w:t>
            </w:r>
          </w:p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ΧΩΡΙΣ Φ.Π.Α.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ΣΥΝΟΛΟ ΧΩΡΙΣ Φ.Π.Α.</w:t>
            </w:r>
          </w:p>
        </w:tc>
        <w:tc>
          <w:tcPr>
            <w:tcW w:w="728" w:type="dxa"/>
            <w:shd w:val="clear" w:color="auto" w:fill="B4C6E7" w:themeFill="accent1" w:themeFillTint="66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Φ.Π.Α.</w:t>
            </w:r>
          </w:p>
        </w:tc>
        <w:tc>
          <w:tcPr>
            <w:tcW w:w="987" w:type="dxa"/>
            <w:shd w:val="clear" w:color="auto" w:fill="B4C6E7" w:themeFill="accent1" w:themeFillTint="66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ΣΥΜΟΛΟ ΜΕ Φ.Π.Α</w:t>
            </w: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853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1. ΜΗΧΑΝΗΜΑΤΑ - ΕΞΑΡΤΗΜΑΤΑ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5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28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  <w:shd w:val="clear" w:color="auto" w:fill="D9E2F3" w:themeFill="accent1" w:themeFillTint="33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Αντλία θερμότητας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αέρα- νερού,  ψυκτικής / θερμικής ισχύος  88,72 KW  / 88,2 KW, σύμφωνα με την τεχνική περιγραφή και τις προδιαγραφές.  Προμήθεια, μεταφορά, εγκατάσταση,  σύνδεση, δοκιμές, ρύθμιση και θέση σε λειτουργία.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1.2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Kεντρική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Κλιματιστική μονάδα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ΚΚΜ1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παροχής αέρα προσαγωγής 13.550 m3/h, 150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και επιστροφής 12.240 m³/h, 120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με στοιχεία ηχομόνωσης, σύμφωνα με την τεχνική περιγραφή και τις προδιαγραφές - Προμήθεια, μεταφορά,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ρύθμιση και θέση σε λειτουργία.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1.3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Kεντρική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Κλιματιστική μονάδα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ΚΚΜ2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παροχής αέρα προσαγωγής 3.350 m3/h, 100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και επιστροφής 3000 m³/h  120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Pa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σύμφωνα με την τεχνική περιγραφή και τις προδιαγραφές - Προμήθεια, μεταφορά,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ρύθμιση και θέση σε λειτουργία.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1.4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εγκατάσταση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συστήματος αυτοματισμού και ελέγχου κάθε ΚΚΜ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με όλα τα απαραίτητα αισθητήρια θερμοκρασίας νερού, περιβάλλοντος,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τρίοδες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βάνες με τους κινητήρες, έτοιμο για σύνδεση με το BMS, πλήρως εγκατεστημένο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1.5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Χυτοσιδηρός</w:t>
            </w:r>
            <w:proofErr w:type="spellEnd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 λέβητας συμπύκνωσης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και καυστήρας φυσικού αερίου, με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εναλλάκτη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σύμφωνα με την τεχνική περιγραφή και τις προδιαγραφές - ισχύος 120.000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Kcal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/h. Προμήθεια, μεταφορά,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ρύθμιση και θέση σε λειτουργία.   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1.6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εγκατάσταση συστήματος αυτοματισμού και ελέγχου λεβητοστασίου με  ενσωματωμένο στο λέβητα ή ξεχωριστό πίνακα ελέγχου κατάλληλου για σύνδεση στο BMS, καθώς και  όλα τα απαραίτητα αισθητήρια θερμοκρασίας νερού, περιβάλλοντος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. σύμφωνα με την τεχνική περιγραφή, τα σχέδια και τις προδιαγραφές . Προμήθεια, μεταφορά,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εγκατάσταση,δοκιμές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ρύθμιση και θέση σε λειτουργία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1.7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Κυκλοφορητής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νερού  ενδεικτικού τύπου WILO STRATOS PICO 30/0,5-6 ,  με ενσωματωμένο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απόδοσης,σε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αντικατάσταση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Star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RS 30/70r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1.8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Αξεσουάρ αναβάθμισης -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διασύνδεσης των  </w:t>
            </w:r>
            <w:proofErr w:type="spellStart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κυκλοφορητων</w:t>
            </w:r>
            <w:proofErr w:type="spellEnd"/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  με το BMS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- Ενδεικτικός τύπος WILO :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Connect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BMS : 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Διεπαφές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SSM/SBM, Αναλογική είσοδος για σήμα 0-10 V,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OFF/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. MIN/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Ext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MAX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1.9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Κυκλοφορητής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 νερού  ενδεικτικού τύπου WILO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Stratos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MAXO 40/0,5-8 PN6/10  ,  με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inverter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υψηλής ενεργειακής απόδοσης EEI&lt;=0,17,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standard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διαθέσιμες επαφές για σύνδεση με το BMS και δυνατότητα προσθήκης CIF-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Module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για επικοινωνία με το BMS μέσω πρωτοκόλλου, σε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 xml:space="preserve">αντικατάσταση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κυκλοφορητού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WILO -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Type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: S 40/70r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1.10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 , τοποθέτηση σωληνώσεων για σύνδεση αντλίας θερμότητας και λέβητα με τα δίκτυα ζεστού και ψυχρού νερού, από μαύρους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σιδηροσωλήνες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με ή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ανευ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ραφής κατάλληλα βαμμένους για αποφυγή οξειδώσεων, νέοι συλλέκτες προσαγωγής και επιστροφής στο λεβητοστάσιο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1.11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Μόνωση σωληνώσεων με ARMAFLEX και μόνωση των αεραγωγών και λοιπών μηχανημάτων, σύμφωνα με την τεχνική περιγραφή και τις προδιαγραφές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1.12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Προστασία μονώσεων των σωληνώσεων και των αεραγωγών, στους εξωτερικούς χώρους με ανοξείδωτα φύλλα λαμαρίνας.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1.13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Προμήθεια, μεταφορά, εγκατάσταση - σύνδεση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εξαρτημάτων δικτύου σωληνώσεων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θερμού -ψυχρού νερού : χειροκίνητες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βάννες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σφαιρικές ορειχάλκινες και  τύπου πεταλούδας,  με μοχλό χειρισμού και τους μαστούς αλλαγής υλικού,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εξαεριστικά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βαλβίδες αντεπιστροφής, φίλτρα νερού, αυτόματος πλήρωσης,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ηλεκτροβάννες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τρίοδες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ηλεκτροκίνητες βαλβίδες προοδευτικής λειτουργίας, διαστολικά και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αντικραδασμικά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σωληνώσεων, στηρίγματα,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λυόμενοι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σύνδεσμοι (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ρακόρ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- φλάντζες ), μανόμετρα, θερμόμετρα 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 όπως στα σχέδια, τις τεχνικές περιγραφές και τις προδιαγραφές.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1.14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Κλειστό δοχείο διαστολής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με μεμβράνη χωρητικότητας 50lt, προμήθεια, τοποθέτηση και σύνδεση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1.15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Δοχείο αδράνειας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νερού ψύξης χωρητικότητας 700lt, προμήθεια, τοποθέτηση και σύνδεση.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1.16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 xml:space="preserve">Σωληνώσεις και εξαρτήματα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για σύνδεση του καυστήρα του λέβητα με την </w:t>
            </w: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παροχή φυσικού αερίου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προμήθεια, τοποθέτηση και σύνδεση.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853" w:type="dxa"/>
            <w:shd w:val="clear" w:color="auto" w:fill="D9E2F3" w:themeFill="accent1" w:themeFillTint="33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2. ΤΕΧΝΙΚΕΣ ΕΡΓΑΣΙΕΣ/ΥΠΗΡΕΣΙΕΣ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D9E2F3" w:themeFill="accent1" w:themeFillTint="33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  <w:shd w:val="clear" w:color="auto" w:fill="D9E2F3" w:themeFill="accent1" w:themeFillTint="33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2.1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Αποξήλωση υφιστάμενων συσκευών και εξοπλισμού της υφιστάμενης εγκατάστασης κλιματισμού  που δεν χρησιμοποιείται στη νέα λύση ή βρίσκεται εκτός λειτουργίας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2.2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Εκκίνηση και ρύθμιση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Kεντρικών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Kλιματιστικών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Mονάδων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και Αντλίας Θερμότητας.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2.3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Εργασίες αποξήλωσης μηχανημάτων  λεβητοστασίου - Διαμόρφωση  - αποκατάσταση χώρου λεβητοστασίου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2.4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Εκκίνηση, ρύθμιση,  δοκιμές λέβητα,  έλεγχος δικτύου και έκδοση φύλλου ελέγχου σύμφωνα με την ισχύουσα νομοθεσία, από αδειούχο εγκαταστάτη υδραυλικό.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2.5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Διαμόρφωση χώρου ελέγχου κλιματισμού με παρελκόμενα (Η/Υ, οθόνη, ποντίκι, εκτυπωτής,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scanner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λογισμικό, έπιπλα γραφείου, κλιματιστική μονάδα τύπου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split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2.6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Ρυθμίσεις συνολικής καλής λειτουργίας εγκατάστασης κλιματισμού - θέρμανσης και αυτοματισμών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2.7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Εκπαίδευση προσωπικού για την λειτουργία και τον έλεγχο του συστήματος καθώς και παρακολούθηση της καλής λειτουργίας της εγκατάστασης για ένα έτος μετά την παράδοση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2.8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Εκπόνηση μελέτης για σύνδεση με την παροχή φυσικού αερίου, αποστολή στην ΔΕΔΑ για έγκριση, αυτοψία και λοιπές εγκρίσεις για την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έναρξη τροφοδοσίας του λέβητα με φυσικό αέριο.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lastRenderedPageBreak/>
              <w:t>κατ΄αποκ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853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3. ΚΕΝΤΡΙΚΟ ΣΥΣΤΗΜΑ ΕΛΕΓΧΟΥ (BMS)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05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28" w:type="dxa"/>
            <w:shd w:val="clear" w:color="auto" w:fill="D9E2F3" w:themeFill="accent1" w:themeFillTint="33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  <w:shd w:val="clear" w:color="auto" w:fill="D9E2F3" w:themeFill="accent1" w:themeFillTint="33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3.1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Τρίοδη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ηλεκτροκίνητη βάνα αναλογική DN25 (δικτύου) με κινητήρα πλήρης. Προμήθεια, δοκιμές, ρύθμιση &amp; θέση σε λειτουργία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3.2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Τρίοδη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ηλεκτροκίνητη βάνα αναλογική DN40 (δικτύου) με κινητήρα πλήρης. Προμήθεια, δοκιμές, ρύθμιση &amp; θέση σε λειτουργία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3.3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Αισθητήριο θερμοκρασίας εξωτερικού χώρου, με θήκη προστασίας, ρύθμιση &amp; θέση σε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λειτουργεια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3.4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ΑΚΕ 01- Ερμάριο ηλεκτροστατικής βαφής που περιλαμβάνει έναν σταθμό ελέγχου τεχνολογίας DDC χωρητικότητας 100 σημείων ελέγχου με 2 θύρες που υποστηρίζουν τα πρωτόκολλα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Modbus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RTU,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BACnet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MSTP. Στην πρόσοψη του πίνακα θα υπάρχει οθόνη αφής 7’’ για τον έλεγχο και την επιτήρηση της εγκατάστασης. Μέσω ενός περιηγητή δικτύου (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Chrome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Mozilla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Edge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) θα δίνεται η δυνατότητα για τον απομακρυσμένο έλεγχο της εγκατάστασης.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DA09C7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3.5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Δημιουργία σχεδίων συνδέσεων πινάκων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Προγραμματισμός σταθμών ελέγχου και οθονών αφής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Προγραμματισμός σταθμού διαχείρισης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Δοκιμή σημάτων ελέγχου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Δοκιμή λειτουργίας ελεγχόμενων συστημάτων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Παραμετροποίηση και θέση σε λειτουργία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Εκπαίδευση χειριστών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,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Δημιουργία φακέλου τελικών σχεδίων, εγχειρίδιου λειτουργίας, τεχνικών εγχειριδίων υλικών.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κατ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΄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 </w:t>
            </w: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αποκ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οπή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692772" w:rsidRPr="005152F8" w:rsidTr="00692772">
        <w:trPr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 xml:space="preserve">Προμήθεια Η/Υ με οθόνη και απαραίτητα περιφερειακά ή οθόνης αφής, συμπεριλαμβανομένου του λογισμικού της εγκατάστασης με τις ανάλογες άδειες χρήσης. </w:t>
            </w: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Προμηθεια,εγκατάσταση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, δοκιμές, ρύθμιση &amp; θέση σε λειτουργία.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proofErr w:type="spellStart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τεμ</w:t>
            </w:r>
            <w:proofErr w:type="spellEnd"/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 w:eastAsia="el-G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5152F8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87" w:type="dxa"/>
          </w:tcPr>
          <w:p w:rsidR="00692772" w:rsidRPr="005152F8" w:rsidRDefault="00692772" w:rsidP="00DF4AD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</w:tbl>
    <w:p w:rsidR="00692772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lang w:val="el-GR"/>
        </w:rPr>
      </w:pPr>
    </w:p>
    <w:p w:rsidR="00692772" w:rsidRPr="00CA58E8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b/>
          <w:bCs/>
          <w:sz w:val="20"/>
          <w:szCs w:val="20"/>
          <w:lang w:val="el-GR"/>
        </w:rPr>
        <w:t>ΣΥΝΟΛΙΚΗ ΑΠΟΤΥΠΩΣΗ ΟΙΚΟΝΟΜΙΚΗΣ ΠΡΟΣΦΟΡΑΣ</w:t>
      </w:r>
    </w:p>
    <w:p w:rsidR="00692772" w:rsidRPr="00CA58E8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692772" w:rsidRPr="00CA58E8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b/>
          <w:bCs/>
          <w:sz w:val="20"/>
          <w:szCs w:val="20"/>
          <w:lang w:val="el-GR"/>
        </w:rPr>
        <w:t>ΑΡΙΘΜΗΤΙΚΩΣ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1245"/>
        <w:gridCol w:w="917"/>
        <w:gridCol w:w="1390"/>
      </w:tblGrid>
      <w:tr w:rsidR="00692772" w:rsidRPr="00CA58E8" w:rsidTr="00DF4ADD">
        <w:trPr>
          <w:trHeight w:val="426"/>
        </w:trPr>
        <w:tc>
          <w:tcPr>
            <w:tcW w:w="6374" w:type="dxa"/>
            <w:shd w:val="clear" w:color="auto" w:fill="D9E2F3" w:themeFill="accent1" w:themeFillTint="33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/>
                <w:szCs w:val="20"/>
                <w:lang w:val="el-GR"/>
              </w:rPr>
              <w:t>ΕΙΔΟΣ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/>
                <w:szCs w:val="20"/>
                <w:lang w:val="el-GR"/>
              </w:rPr>
              <w:t>ΚΑΘΑΡΗ ΑΞΙΑ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/>
                <w:szCs w:val="20"/>
                <w:lang w:val="el-GR"/>
              </w:rPr>
              <w:t>Φ.Π.Α.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/>
                <w:szCs w:val="20"/>
                <w:lang w:val="el-GR"/>
              </w:rPr>
              <w:t>ΣΥΝΟΛΙΚΗ ΑΞΙΑ</w:t>
            </w:r>
          </w:p>
        </w:tc>
      </w:tr>
      <w:tr w:rsidR="00692772" w:rsidRPr="00CA58E8" w:rsidTr="00DF4ADD">
        <w:trPr>
          <w:trHeight w:val="426"/>
        </w:trPr>
        <w:tc>
          <w:tcPr>
            <w:tcW w:w="6374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Cs/>
                <w:szCs w:val="20"/>
                <w:lang w:val="el-GR"/>
              </w:rPr>
              <w:t>ΣΥΣΤΗΜΑ ΚΛΙΜΑΤΙΣΜΟΥ ΚΙΝΗΜΑΤΟΓΡΑΦΟΥ ΟΛΥΜΠΙΑ</w:t>
            </w:r>
          </w:p>
        </w:tc>
        <w:tc>
          <w:tcPr>
            <w:tcW w:w="1418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992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692772" w:rsidRPr="00CA58E8" w:rsidTr="00DF4ADD">
        <w:trPr>
          <w:trHeight w:val="426"/>
        </w:trPr>
        <w:tc>
          <w:tcPr>
            <w:tcW w:w="6374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Cs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Cs/>
                <w:szCs w:val="20"/>
                <w:lang w:val="el-GR"/>
              </w:rPr>
              <w:t>ΣΥΣΤΗΜΑ ΚΛΙΜΑΤΙΣΜΟΥ ΩΔΕΙΟΥ</w:t>
            </w:r>
          </w:p>
        </w:tc>
        <w:tc>
          <w:tcPr>
            <w:tcW w:w="1418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992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  <w:tr w:rsidR="00692772" w:rsidRPr="00CA58E8" w:rsidTr="00DF4ADD">
        <w:trPr>
          <w:trHeight w:val="426"/>
        </w:trPr>
        <w:tc>
          <w:tcPr>
            <w:tcW w:w="6374" w:type="dxa"/>
            <w:shd w:val="clear" w:color="auto" w:fill="D9E2F3" w:themeFill="accent1" w:themeFillTint="33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  <w:r w:rsidRPr="00CA58E8">
              <w:rPr>
                <w:rFonts w:asciiTheme="minorHAnsi" w:hAnsiTheme="minorHAnsi" w:cstheme="minorHAnsi"/>
                <w:b/>
                <w:szCs w:val="20"/>
                <w:lang w:val="el-GR"/>
              </w:rPr>
              <w:t>ΣΥΝΟΛΟ ΠΡΟΣΦΟΡΑΣ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2772" w:rsidRPr="00CA58E8" w:rsidRDefault="00692772" w:rsidP="00DF4ADD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Cs w:val="20"/>
                <w:lang w:val="el-GR"/>
              </w:rPr>
            </w:pPr>
          </w:p>
        </w:tc>
      </w:tr>
    </w:tbl>
    <w:p w:rsidR="00692772" w:rsidRPr="00CA58E8" w:rsidRDefault="00692772" w:rsidP="00692772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</w:pPr>
    </w:p>
    <w:p w:rsidR="00692772" w:rsidRPr="00CA58E8" w:rsidRDefault="00692772" w:rsidP="00692772">
      <w:pPr>
        <w:suppressAutoHyphens w:val="0"/>
        <w:spacing w:after="0" w:line="276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  <w:t>ΚΑΘΑΡΗ ΑΞΙΑ ΠΡΟΣΦΟΡΑΣ ΟΛΟΓΡΑΦΩΣ:………………………………………………………………</w:t>
      </w:r>
    </w:p>
    <w:p w:rsidR="00692772" w:rsidRPr="00CA58E8" w:rsidRDefault="00692772" w:rsidP="00692772">
      <w:pPr>
        <w:suppressAutoHyphens w:val="0"/>
        <w:spacing w:after="0" w:line="276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  <w:t>Φ.Π.Α. ΟΛΟΓΡΑΦΩΣ:……………………………………………………………………………………………….</w:t>
      </w:r>
    </w:p>
    <w:p w:rsidR="00692772" w:rsidRPr="00CA58E8" w:rsidRDefault="00692772" w:rsidP="00692772">
      <w:pPr>
        <w:suppressAutoHyphens w:val="0"/>
        <w:spacing w:after="0" w:line="276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b/>
          <w:color w:val="002060"/>
          <w:sz w:val="20"/>
          <w:szCs w:val="20"/>
          <w:lang w:val="el-GR"/>
        </w:rPr>
        <w:t>ΣΥΝΟΛΙΚΗ ΑΞΙΑ ΟΛΟΓΡΑΦΩΣ: ………………………………………………………………………………..</w:t>
      </w:r>
    </w:p>
    <w:p w:rsidR="00692772" w:rsidRPr="00CA58E8" w:rsidRDefault="00692772" w:rsidP="00692772">
      <w:pPr>
        <w:suppressAutoHyphens w:val="0"/>
        <w:spacing w:after="0" w:line="276" w:lineRule="auto"/>
        <w:jc w:val="left"/>
        <w:rPr>
          <w:rFonts w:asciiTheme="minorHAnsi" w:hAnsiTheme="minorHAnsi" w:cstheme="minorHAnsi"/>
          <w:sz w:val="20"/>
          <w:szCs w:val="20"/>
          <w:lang w:val="el-GR"/>
        </w:rPr>
      </w:pPr>
      <w:r w:rsidRPr="00CA58E8">
        <w:rPr>
          <w:rFonts w:asciiTheme="minorHAnsi" w:hAnsiTheme="minorHAnsi" w:cstheme="minorHAnsi"/>
          <w:sz w:val="20"/>
          <w:szCs w:val="20"/>
          <w:lang w:val="el-GR"/>
        </w:rPr>
        <w:t>Η προσφορά ισχύει για ……………….. μήνες από την επόμενη της καταληκτικής ημερομηνίας υποβολής προσφορών</w:t>
      </w:r>
    </w:p>
    <w:p w:rsidR="00692772" w:rsidRPr="001938C5" w:rsidRDefault="00692772" w:rsidP="00692772">
      <w:pPr>
        <w:suppressAutoHyphens w:val="0"/>
        <w:spacing w:after="0" w:line="480" w:lineRule="auto"/>
        <w:jc w:val="center"/>
        <w:rPr>
          <w:rFonts w:asciiTheme="minorHAnsi" w:hAnsiTheme="minorHAnsi" w:cstheme="minorHAnsi"/>
          <w:b/>
          <w:bCs/>
          <w:color w:val="002060"/>
          <w:szCs w:val="22"/>
          <w:lang w:val="el-GR"/>
        </w:rPr>
      </w:pPr>
      <w:r w:rsidRPr="001938C5">
        <w:rPr>
          <w:rFonts w:asciiTheme="minorHAnsi" w:hAnsiTheme="minorHAnsi" w:cstheme="minorHAnsi"/>
          <w:b/>
          <w:bCs/>
          <w:lang w:val="el-GR"/>
        </w:rPr>
        <w:t>Ψηφιακή υπογραφή</w:t>
      </w:r>
    </w:p>
    <w:p w:rsidR="00FC0563" w:rsidRDefault="00FC0563" w:rsidP="00692772">
      <w:pPr>
        <w:suppressAutoHyphens w:val="0"/>
        <w:spacing w:after="0"/>
        <w:jc w:val="left"/>
      </w:pPr>
    </w:p>
    <w:sectPr w:rsidR="00FC0563" w:rsidSect="0069277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21B5"/>
    <w:multiLevelType w:val="hybridMultilevel"/>
    <w:tmpl w:val="84AAFB9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5B503CE"/>
    <w:multiLevelType w:val="hybridMultilevel"/>
    <w:tmpl w:val="49D00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E"/>
    <w:rsid w:val="00692772"/>
    <w:rsid w:val="00C70C4E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BA75-C0C4-4597-AA69-07BCF9B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C4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7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70C4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0C4E"/>
    <w:rPr>
      <w:rFonts w:ascii="Arial" w:eastAsia="Times New Roman" w:hAnsi="Arial" w:cs="Arial"/>
      <w:b/>
      <w:color w:val="002060"/>
      <w:sz w:val="24"/>
      <w:lang w:val="en-GB" w:eastAsia="ar-SA"/>
    </w:rPr>
  </w:style>
  <w:style w:type="table" w:styleId="a3">
    <w:name w:val="Table Grid"/>
    <w:basedOn w:val="a1"/>
    <w:uiPriority w:val="59"/>
    <w:qFormat/>
    <w:rsid w:val="00C7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70C4E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C70C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2401</Words>
  <Characters>12968</Characters>
  <Application>Microsoft Office Word</Application>
  <DocSecurity>0</DocSecurity>
  <Lines>108</Lines>
  <Paragraphs>30</Paragraphs>
  <ScaleCrop>false</ScaleCrop>
  <Company>Δήμος Δράμας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2</cp:revision>
  <dcterms:created xsi:type="dcterms:W3CDTF">2024-10-09T05:06:00Z</dcterms:created>
  <dcterms:modified xsi:type="dcterms:W3CDTF">2024-12-12T06:49:00Z</dcterms:modified>
</cp:coreProperties>
</file>